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DA8C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货运源表，有企业月报明细，运政车辆，轨迹里程，拆分规上规下数据，要生成如下四张表</w:t>
      </w:r>
      <w:r>
        <w:rPr>
          <w:sz w:val="28"/>
          <w:szCs w:val="28"/>
        </w:rPr>
        <w:drawing>
          <wp:inline distT="0" distB="0" distL="114300" distR="114300">
            <wp:extent cx="5273040" cy="2565400"/>
            <wp:effectExtent l="0" t="0" r="0" b="10160"/>
            <wp:docPr id="2" name="图片 2" descr="ecda94a0eea32929bfd83ca65a64b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cda94a0eea32929bfd83ca65a64b63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0D540">
      <w:r>
        <w:rPr>
          <w:rFonts w:hint="eastAsia"/>
        </w:rPr>
        <w:t>月报审核问题：</w:t>
      </w:r>
    </w:p>
    <w:p w14:paraId="43B1D4DD">
      <w:r>
        <w:rPr>
          <w:rFonts w:hint="eastAsia"/>
        </w:rPr>
        <w:t>1 车辆、吨位数与运政对比，车辆差距超过5台，吨位差距超过50，核实</w:t>
      </w:r>
    </w:p>
    <w:p w14:paraId="183FE93F">
      <w:r>
        <w:rPr>
          <w:rFonts w:hint="eastAsia"/>
        </w:rPr>
        <w:t>2  企业上报周转量与根据轨迹里程测算周转量对比，高出30%，核实</w:t>
      </w:r>
    </w:p>
    <w:p w14:paraId="66E3C9E3">
      <w:r>
        <w:rPr>
          <w:rFonts w:hint="eastAsia"/>
        </w:rPr>
        <w:t>3  货运类型与上月对比，不一致的核实（本月多出来的核实，少的不管）</w:t>
      </w:r>
    </w:p>
    <w:p w14:paraId="4BC4E58D">
      <w:r>
        <w:rPr>
          <w:rFonts w:hint="eastAsia"/>
        </w:rPr>
        <w:t>4  无集装箱车，有集装箱货，核实</w:t>
      </w:r>
    </w:p>
    <w:p w14:paraId="5BA73520">
      <w:pPr>
        <w:rPr>
          <w:rFonts w:hint="eastAsia"/>
        </w:rPr>
      </w:pPr>
      <w:r>
        <w:rPr>
          <w:rFonts w:hint="eastAsia"/>
        </w:rPr>
        <w:t>5  整车吨位数 ＞ 4吨 and ≤ 40吨</w:t>
      </w:r>
    </w:p>
    <w:p w14:paraId="38AE03D6"/>
    <w:p w14:paraId="7642B83E">
      <w:pPr>
        <w:rPr>
          <w:rFonts w:hint="eastAsia"/>
        </w:rPr>
      </w:pPr>
      <w:r>
        <w:rPr>
          <w:rFonts w:hint="eastAsia"/>
        </w:rPr>
        <w:t>其中：</w:t>
      </w:r>
    </w:p>
    <w:p w14:paraId="2165AAE2">
      <w:pPr>
        <w:rPr>
          <w:rFonts w:hint="eastAsia"/>
        </w:rPr>
      </w:pPr>
      <w:r>
        <w:rPr>
          <w:rFonts w:hint="eastAsia"/>
        </w:rPr>
        <w:t xml:space="preserve">整车吨位数 = </w:t>
      </w:r>
      <w:r>
        <w:t>其它车辆总吨位(吨)</w:t>
      </w:r>
      <w:r>
        <w:rPr>
          <w:rFonts w:hint="eastAsia"/>
        </w:rPr>
        <w:t xml:space="preserve"> ÷ </w:t>
      </w:r>
      <w:r>
        <w:t>其它车辆数</w:t>
      </w:r>
    </w:p>
    <w:p w14:paraId="06D60236">
      <w:r>
        <w:rPr>
          <w:rFonts w:hint="eastAsia"/>
        </w:rPr>
        <w:t>轨迹测算周转量=轨迹里程/轨迹车辆*（牵引车*31+整车吨位）/（牵引车+整车）*（牵引车+整车）=轨迹里程/轨迹车辆*（牵引车*31+整车吨位）</w:t>
      </w:r>
    </w:p>
    <w:p w14:paraId="56BF8DD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0FC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700</Words>
  <Characters>1077</Characters>
  <Lines>0</Lines>
  <Paragraphs>0</Paragraphs>
  <TotalTime>0</TotalTime>
  <ScaleCrop>false</ScaleCrop>
  <LinksUpToDate>false</LinksUpToDate>
  <CharactersWithSpaces>1100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WPS_1644490710</cp:lastModifiedBy>
  <dcterms:modified xsi:type="dcterms:W3CDTF">2026-08-25T09:32:33Z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eyJoZGlkIjoiZDZiMGFhNjY0MTZjYTNhMzg1ZDZiOGY2MTIyMTM1MjEiLCJ1c2VySWQiOiIxMzMwMzAxODM5In0=</vt:lpwstr>
  </property>
  <property fmtid="{D5CDD505-2E9C-101B-9397-08002B2CF9AE}" pid="3" name="KSOProductBuildVer">
    <vt:lpwstr>2052-12.1.0.26375</vt:lpwstr>
  </property>
  <property fmtid="{D5CDD505-2E9C-101B-9397-08002B2CF9AE}" pid="4" name="ICV">
    <vt:lpwstr>AA41C076B8F54DDCA2557C2AC99A7A8E_12</vt:lpwstr>
  </property>
</Properties>
</file>