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bookmarkStart w:id="0" w:name="_GoBack"/>
      <w:bookmarkEnd w:id="0"/>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keepNext/>
        <w:keepLines/>
        <w:shd w:val="clear" w:color="auto" w:fill="auto"/>
        <w:adjustRightInd w:val="0"/>
        <w:snapToGrid w:val="0"/>
        <w:spacing w:before="0" w:beforeLines="0" w:after="0" w:afterLines="0"/>
        <w:ind w:firstLine="0" w:firstLineChars="0"/>
        <w:jc w:val="center"/>
        <w:outlineLvl w:val="0"/>
        <w:rPr>
          <w:rFonts w:ascii="Times New Roman" w:hAnsi="Times New Roman" w:eastAsia="黑体" w:cs="Times New Roman"/>
          <w:b/>
          <w:bCs/>
          <w:kern w:val="44"/>
          <w:sz w:val="44"/>
          <w:szCs w:val="44"/>
        </w:rPr>
      </w:pPr>
      <w:r>
        <w:rPr>
          <w:rFonts w:ascii="Times New Roman" w:hAnsi="Times New Roman" w:eastAsia="黑体" w:cs="Times New Roman"/>
          <w:b/>
          <w:bCs/>
          <w:kern w:val="44"/>
          <w:sz w:val="44"/>
          <w:szCs w:val="44"/>
        </w:rPr>
        <w:t>湖北省道路货物运输量分市州</w:t>
      </w:r>
      <w:r>
        <w:rPr>
          <w:rFonts w:ascii="Times New Roman" w:hAnsi="Times New Roman" w:eastAsia="黑体" w:cs="Times New Roman"/>
          <w:b/>
          <w:bCs/>
          <w:kern w:val="44"/>
          <w:sz w:val="44"/>
          <w:szCs w:val="44"/>
        </w:rPr>
        <w:br w:type="textWrapping"/>
      </w:r>
      <w:r>
        <w:rPr>
          <w:rFonts w:ascii="Times New Roman" w:hAnsi="Times New Roman" w:eastAsia="黑体" w:cs="Times New Roman"/>
          <w:b/>
          <w:bCs/>
          <w:kern w:val="44"/>
          <w:sz w:val="44"/>
          <w:szCs w:val="44"/>
        </w:rPr>
        <w:t>统计方法编制说明</w:t>
      </w: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420"/>
        <w:rPr>
          <w:rFonts w:ascii="Times New Roman" w:hAnsi="Times New Roman" w:eastAsia="仿宋_GB2312" w:cs="Times New Roman"/>
          <w:kern w:val="2"/>
          <w:sz w:val="21"/>
          <w:szCs w:val="22"/>
        </w:rPr>
      </w:pPr>
    </w:p>
    <w:p>
      <w:pPr>
        <w:widowControl w:val="0"/>
        <w:shd w:val="clear" w:color="auto" w:fill="auto"/>
        <w:adjustRightInd w:val="0"/>
        <w:snapToGrid w:val="0"/>
        <w:spacing w:before="0" w:beforeLines="0" w:after="0" w:afterLines="0"/>
        <w:ind w:firstLine="0" w:firstLineChars="0"/>
        <w:jc w:val="center"/>
        <w:rPr>
          <w:rFonts w:ascii="Times New Roman" w:hAnsi="Times New Roman" w:eastAsia="黑体" w:cs="Times New Roman"/>
          <w:kern w:val="2"/>
          <w:sz w:val="21"/>
          <w:szCs w:val="22"/>
        </w:rPr>
      </w:pPr>
    </w:p>
    <w:p>
      <w:pPr>
        <w:widowControl w:val="0"/>
        <w:shd w:val="clear" w:color="auto" w:fill="auto"/>
        <w:adjustRightInd w:val="0"/>
        <w:snapToGrid w:val="0"/>
        <w:spacing w:before="0" w:beforeLines="0" w:after="0" w:afterLines="0"/>
        <w:ind w:firstLine="0" w:firstLineChars="0"/>
        <w:jc w:val="center"/>
        <w:rPr>
          <w:rFonts w:ascii="Times New Roman" w:hAnsi="Times New Roman" w:eastAsia="黑体" w:cs="Times New Roman"/>
          <w:kern w:val="2"/>
          <w:sz w:val="32"/>
          <w:szCs w:val="22"/>
        </w:rPr>
      </w:pPr>
      <w:r>
        <w:rPr>
          <w:rFonts w:ascii="Times New Roman" w:hAnsi="Times New Roman" w:eastAsia="黑体" w:cs="Times New Roman"/>
          <w:kern w:val="2"/>
          <w:sz w:val="32"/>
          <w:szCs w:val="22"/>
        </w:rPr>
        <w:t>202</w:t>
      </w:r>
      <w:r>
        <w:rPr>
          <w:rFonts w:hint="eastAsia" w:ascii="Times New Roman" w:hAnsi="Times New Roman" w:eastAsia="黑体" w:cs="Times New Roman"/>
          <w:kern w:val="2"/>
          <w:sz w:val="32"/>
          <w:szCs w:val="22"/>
        </w:rPr>
        <w:t>3</w:t>
      </w:r>
      <w:r>
        <w:rPr>
          <w:rFonts w:ascii="Times New Roman" w:hAnsi="Times New Roman" w:eastAsia="黑体" w:cs="Times New Roman"/>
          <w:kern w:val="2"/>
          <w:sz w:val="32"/>
          <w:szCs w:val="22"/>
        </w:rPr>
        <w:t>年</w:t>
      </w:r>
      <w:r>
        <w:rPr>
          <w:rFonts w:hint="eastAsia" w:ascii="Times New Roman" w:hAnsi="Times New Roman" w:eastAsia="黑体" w:cs="Times New Roman"/>
          <w:kern w:val="2"/>
          <w:sz w:val="32"/>
          <w:szCs w:val="22"/>
        </w:rPr>
        <w:t>5</w:t>
      </w:r>
      <w:r>
        <w:rPr>
          <w:rFonts w:ascii="Times New Roman" w:hAnsi="Times New Roman" w:eastAsia="黑体" w:cs="Times New Roman"/>
          <w:kern w:val="2"/>
          <w:sz w:val="32"/>
          <w:szCs w:val="22"/>
        </w:rPr>
        <w:t>月</w:t>
      </w:r>
    </w:p>
    <w:p>
      <w:pPr>
        <w:pStyle w:val="2"/>
      </w:pPr>
      <w:r>
        <w:t>工作目标</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为解湖北省市州级运输量缺失问题，客观反映市州级道路货物运输发展现状，发挥运输量在运输发展、经济社会运行监测的指标作用，特编制湖北省分市州道路货物运输量统计方案。本方案旨在结合各市州道路货物运输市场发展实际，通过采集若干客观真实、动态变化的基础数据和监测指标，建立分市州货物运输量统计模型，完善健全数据的测算过程和印证机制。</w:t>
      </w:r>
    </w:p>
    <w:p>
      <w:pPr>
        <w:pStyle w:val="2"/>
      </w:pPr>
      <w:r>
        <w:t>统计方法</w:t>
      </w:r>
    </w:p>
    <w:p>
      <w:pPr>
        <w:pStyle w:val="3"/>
      </w:pPr>
      <w:r>
        <w:t>统计思路</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道路货物运输量=规上道路货物运输企业运输量+规下道路货物运输经营业户运输量。</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（1）</w:t>
      </w:r>
      <w:r>
        <w:rPr>
          <w:rFonts w:ascii="Times New Roman" w:hAnsi="Times New Roman" w:eastAsia="仿宋_GB2312" w:cs="Times New Roman"/>
        </w:rPr>
        <w:t>规模以上道路货物运输企业运输量统计</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主营道路货物运输、年营业收入1000万以上且拥有货运车辆50辆及以上的道路货运法人企业。每月由企业在交通运输企业一套表联网直报系统中进行填报。</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（2）</w:t>
      </w:r>
      <w:r>
        <w:rPr>
          <w:rFonts w:ascii="Times New Roman" w:hAnsi="Times New Roman" w:eastAsia="仿宋_GB2312" w:cs="Times New Roman"/>
        </w:rPr>
        <w:t>规模以下道路货物运输业户运输量统计</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除规模以上道路货物运输企业外的经营业户。以2021年9月为基月（此后每年1月起将前1年9月运输量作为基月），结合高速公路车货总重、普通国省道货车交通量、运力数据等参数波动情况进行推算。</w:t>
      </w:r>
    </w:p>
    <w:p>
      <w:pPr>
        <w:pStyle w:val="3"/>
      </w:pPr>
      <w:r>
        <w:t>规下波动系数辅助指标的选取</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对于市州一级的波动系数方法主要的辅助指标选取需要注意以下两个方面：</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一是与省级方案尽量保持一致性，遵从省级方案中的指标选用原则。主要选用原则是，一是数据均来源于行业管理的业务应用系统，数据可信度较高；二是为行业内数据，可于每月底及时汇总出当月数值，能较好的反映出统计当月的运输行业状态。从省级方案的设计上看，目前高速公路数据、国省道交通量数据应用于各省货物运输量统计推算中，且两类数据均来源于交通运输管理部门内部，获取比较方便，数据质量相对较高，数据覆盖范围较广。</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二是选用指标应能够满足市州一级推算需要。在高速公路和普通国省道交通量观测站点的考虑上，不能完全认为省级选用哪些指标，市州级推算方案就一定要选用相同指标，还应针对分市州的辅助指标具体情况进行考虑，包括分析各市州的站点分布数量、数据质量、维护情况、数据代表性等等。</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结合以上原则，本方案将选用高速公路数据、国省道交通量数据和运力数据用于分市州货物运输量统计推算中。</w:t>
      </w:r>
    </w:p>
    <w:p>
      <w:pPr>
        <w:pStyle w:val="3"/>
      </w:pPr>
      <w:r>
        <w:t>基期数据计算</w:t>
      </w:r>
    </w:p>
    <w:p>
      <w:pPr>
        <w:pStyle w:val="4"/>
      </w:pPr>
      <w:r>
        <w:rPr>
          <w:rFonts w:hint="eastAsia"/>
        </w:rPr>
        <w:t>推算基期数据</w:t>
      </w:r>
    </w:p>
    <w:p>
      <w:pPr>
        <w:adjustRightInd w:val="0"/>
        <w:snapToGrid w:val="0"/>
        <w:spacing w:before="0" w:beforeLines="0" w:after="0" w:afterLines="0"/>
        <w:rPr>
          <w:rFonts w:hint="eastAsia" w:ascii="Times New Roman" w:hAnsi="Times New Roman" w:eastAsia="仿宋_GB2312" w:cs="Times New Roman"/>
        </w:rPr>
      </w:pPr>
      <w:r>
        <w:rPr>
          <w:rFonts w:hint="eastAsia" w:ascii="Times New Roman" w:hAnsi="Times New Roman" w:eastAsia="仿宋_GB2312" w:cs="Times New Roman"/>
        </w:rPr>
        <w:t>由于湖北省一直缺乏日常分地市运输量统计数据，而本方案需以初始年份基期（2021年9月）运输量为基础进行推算，因此需首先确定基期运输量。方案结合2019年全国道路货物运输量专项调查数据和2021年9月各地市的运力数据综合计算得到基期（2021年9月）各地市运输量数据。</w:t>
      </w:r>
    </w:p>
    <w:p>
      <w:pPr>
        <w:adjustRightInd w:val="0"/>
        <w:snapToGrid w:val="0"/>
        <w:spacing w:before="0" w:beforeLines="0" w:after="0" w:afterLines="0"/>
        <w:rPr>
          <w:rFonts w:hint="eastAsia" w:ascii="Times New Roman" w:hAnsi="Times New Roman" w:eastAsia="仿宋_GB2312" w:cs="Times New Roman"/>
        </w:rPr>
      </w:pPr>
      <w:r>
        <w:rPr>
          <w:rFonts w:hint="eastAsia" w:ascii="Times New Roman" w:hAnsi="Times New Roman" w:eastAsia="仿宋_GB2312" w:cs="Times New Roman"/>
        </w:rPr>
        <w:t>(1) 2019年全国道路货物运输量专项调查数据</w:t>
      </w:r>
    </w:p>
    <w:p>
      <w:pPr>
        <w:adjustRightInd w:val="0"/>
        <w:snapToGrid w:val="0"/>
        <w:spacing w:before="0" w:beforeLines="0" w:after="0" w:afterLines="0"/>
        <w:rPr>
          <w:rFonts w:hint="eastAsia" w:ascii="Times New Roman" w:hAnsi="Times New Roman" w:eastAsia="仿宋_GB2312" w:cs="Times New Roman"/>
        </w:rPr>
      </w:pPr>
      <w:r>
        <w:rPr>
          <w:rFonts w:hint="eastAsia" w:ascii="Times New Roman" w:hAnsi="Times New Roman" w:eastAsia="仿宋_GB2312" w:cs="Times New Roman"/>
        </w:rPr>
        <w:t>2019年全国道路货物运输量专项调查数据（以下简称“专项调查”）采用抽样调查方式获得大量货运企业运输情况样本，并推算获得调查月分地市运输量数据。依据专项调查数据推算基期分地市运输量的具体方法是：基于调查月各地市货运量和周转量总量计算调查月各地市的占比，再结合湖北省2021年9月的全省货运量和周转量总量，推算得到2021年9月各地市的货运量和周转量。</w:t>
      </w:r>
    </w:p>
    <w:p>
      <w:pPr>
        <w:adjustRightInd w:val="0"/>
        <w:snapToGrid w:val="0"/>
        <w:spacing w:before="0" w:beforeLines="0" w:after="0" w:afterLines="0"/>
        <w:rPr>
          <w:rFonts w:hint="eastAsia" w:ascii="Times New Roman" w:hAnsi="Times New Roman" w:eastAsia="仿宋_GB2312" w:cs="Times New Roman"/>
        </w:rPr>
      </w:pPr>
      <w:r>
        <w:rPr>
          <w:rFonts w:hint="eastAsia" w:ascii="Times New Roman" w:hAnsi="Times New Roman" w:eastAsia="仿宋_GB2312" w:cs="Times New Roman"/>
        </w:rPr>
        <w:t>(2) 2021年9月各地市运力数据</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专项调查开展时间距今已两年，为增加数据真实性和准确性，因此还基于2021年9月各地市拥有的载货汽车吨位合计值进行分地市运输量推算。具体方法是，利用2021年9月各地市载货汽车吨位合计数计算各地市的占比，再结合2021年9月的全省货运量和周转量总量，推算得到各地市的货运量和周转量。各地市基期（2021年9月）运输量=基于专项调查推算的各地市运输量*0.5+基于2021年9月运力数据推算的各地市运输量*0.5</w:t>
      </w:r>
      <w:r>
        <w:rPr>
          <w:rFonts w:ascii="Times New Roman" w:hAnsi="Times New Roman" w:eastAsia="仿宋_GB2312" w:cs="Times New Roman"/>
        </w:rPr>
        <w:t>量。</w:t>
      </w:r>
    </w:p>
    <w:p>
      <w:pPr>
        <w:pStyle w:val="4"/>
        <w:numPr>
          <w:ilvl w:val="2"/>
          <w:numId w:val="4"/>
        </w:numPr>
        <w:ind w:left="0" w:firstLine="0"/>
      </w:pPr>
      <w:r>
        <w:t>规下基期调整</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规上企业名单年度更新时，针对企业规模发生变化、由“规上”调为“规下”或由“规下”调为“规上”的情况，应按年进行调整，并将符合要求的企业纳入或剔除“规上”企业联网直报范围，并相应调整基月规下基数。方法如下：</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基月规下运输量基数=上一年基月规下运输量-本年变化车辆数*单车运输量。其中：本年变化车辆数，根据交企统101表获取，本年变化车辆数=本年规上车辆数-上一年基月规上车辆数；单车运输量，根据上一年基月规上企业数据计算，单车运输量=上一年基月规上运输量/上一年基月规上车辆数</w:t>
      </w:r>
      <w:r>
        <w:rPr>
          <w:rFonts w:hint="eastAsia" w:ascii="Times New Roman" w:hAnsi="Times New Roman" w:eastAsia="仿宋_GB2312" w:cs="Times New Roman"/>
        </w:rPr>
        <w:t>。</w:t>
      </w:r>
    </w:p>
    <w:p>
      <w:pPr>
        <w:pStyle w:val="3"/>
      </w:pPr>
      <w:r>
        <w:t>规下推算过程</w:t>
      </w:r>
    </w:p>
    <w:p>
      <w:pPr>
        <w:pStyle w:val="5"/>
        <w:spacing w:before="190" w:after="190"/>
        <w:rPr>
          <w:rFonts w:ascii="Times New Roman" w:hAnsi="Times New Roman" w:cs="Times New Roman"/>
        </w:rPr>
      </w:pPr>
      <w:r>
        <w:rPr>
          <w:rFonts w:ascii="Times New Roman" w:hAnsi="Times New Roman" w:cs="Times New Roman"/>
        </w:rPr>
        <w:t>利用高速公路数据推算</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每月月初采集高速公路收费数据，按高速公路收费站所在地区进行数据汇总，数据口径包括各站</w:t>
      </w:r>
      <w:r>
        <w:rPr>
          <w:rFonts w:hint="eastAsia" w:ascii="Times New Roman" w:hAnsi="Times New Roman" w:eastAsia="仿宋_GB2312" w:cs="Times New Roman"/>
        </w:rPr>
        <w:t>入</w:t>
      </w:r>
      <w:r>
        <w:rPr>
          <w:rFonts w:ascii="Times New Roman" w:hAnsi="Times New Roman" w:eastAsia="仿宋_GB2312" w:cs="Times New Roman"/>
        </w:rPr>
        <w:t>口方向的通行数据。利用各市州内高速公路站点的汇总数据计算各市州车货总重与基数相比的变化率，作为各市州货运量波动系数之一。利用各市州辖区内高速公路站点的∑（车货总重*行驶里程）与基数相比的变化率，作为各市州货物周转量波动系数之一。具体方法如下：</w:t>
      </w:r>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(1)</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H</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C</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C</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(1)</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Z</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S</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S</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sSup>
          <m:sSupPr>
            <m:ctrlPr>
              <w:rPr>
                <w:rFonts w:ascii="Cambria Math" w:hAnsi="Cambria Math" w:eastAsia="仿宋_GB2312" w:cs="Times New Roman"/>
              </w:rPr>
            </m:ctrlPr>
          </m:sSupPr>
          <m:e>
            <m:r>
              <w:rPr>
                <w:rFonts w:ascii="Cambria Math" w:hAnsi="Cambria Math" w:eastAsia="仿宋_GB2312" w:cs="Times New Roman"/>
              </w:rPr>
              <m:t>H</m:t>
            </m:r>
            <m:ctrlPr>
              <w:rPr>
                <w:rFonts w:ascii="Cambria Math" w:hAnsi="Cambria Math" w:eastAsia="仿宋_GB2312" w:cs="Times New Roman"/>
              </w:rPr>
            </m:ctrlPr>
          </m:e>
          <m:sup>
            <m:r>
              <m:rPr>
                <m:sty m:val="p"/>
              </m:rPr>
              <w:rPr>
                <w:rFonts w:ascii="Cambria Math" w:hAnsi="Cambria Math" w:eastAsia="仿宋_GB2312" w:cs="Times New Roman"/>
              </w:rPr>
              <m:t>(1)</m:t>
            </m:r>
            <m:ctrlPr>
              <w:rPr>
                <w:rFonts w:ascii="Cambria Math" w:hAnsi="Cambria Math" w:eastAsia="仿宋_GB2312" w:cs="Times New Roman"/>
              </w:rPr>
            </m:ctrlPr>
          </m:sup>
        </m:sSup>
        <m:r>
          <m:rPr>
            <m:sty m:val="p"/>
          </m:rPr>
          <w:rPr>
            <w:rFonts w:ascii="Cambria Math" w:hAnsi="Cambria Math" w:eastAsia="仿宋_GB2312" w:cs="Times New Roman"/>
          </w:rPr>
          <m:t>和</m:t>
        </m:r>
        <m:sSup>
          <m:sSupPr>
            <m:ctrlPr>
              <w:rPr>
                <w:rFonts w:ascii="Cambria Math" w:hAnsi="Cambria Math" w:eastAsia="仿宋_GB2312" w:cs="Times New Roman"/>
              </w:rPr>
            </m:ctrlPr>
          </m:sSupPr>
          <m:e>
            <m:r>
              <w:rPr>
                <w:rFonts w:ascii="Cambria Math" w:hAnsi="Cambria Math" w:eastAsia="仿宋_GB2312" w:cs="Times New Roman"/>
              </w:rPr>
              <m:t>Z</m:t>
            </m:r>
            <m:ctrlPr>
              <w:rPr>
                <w:rFonts w:ascii="Cambria Math" w:hAnsi="Cambria Math" w:eastAsia="仿宋_GB2312" w:cs="Times New Roman"/>
              </w:rPr>
            </m:ctrlPr>
          </m:e>
          <m:sup>
            <m:r>
              <m:rPr>
                <m:sty m:val="p"/>
              </m:rPr>
              <w:rPr>
                <w:rFonts w:ascii="Cambria Math" w:hAnsi="Cambria Math" w:eastAsia="仿宋_GB2312" w:cs="Times New Roman"/>
              </w:rPr>
              <m:t>(1)</m:t>
            </m:r>
            <m:ctrlPr>
              <w:rPr>
                <w:rFonts w:ascii="Cambria Math" w:hAnsi="Cambria Math" w:eastAsia="仿宋_GB2312" w:cs="Times New Roman"/>
              </w:rPr>
            </m:ctrlPr>
          </m:sup>
        </m:sSup>
      </m:oMath>
      <w:r>
        <w:rPr>
          <w:rFonts w:ascii="Times New Roman" w:hAnsi="Times New Roman" w:eastAsia="仿宋_GB2312" w:cs="Times New Roman"/>
        </w:rPr>
        <w:t>是通过高速数据初步推算的各地市规下货物运输量和货物周转量；</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oMath>
      <w:r>
        <w:rPr>
          <w:rFonts w:ascii="Times New Roman" w:hAnsi="Times New Roman" w:eastAsia="仿宋_GB2312" w:cs="Times New Roman"/>
        </w:rPr>
        <w:t>和</w:t>
      </w:r>
      <m:oMath>
        <m:sSub>
          <m:sSubPr>
            <m:ctrlPr>
              <w:rPr>
                <w:rFonts w:ascii="Cambria Math" w:hAnsi="Cambria Math" w:eastAsia="仿宋_GB2312" w:cs="Times New Roman"/>
              </w:rPr>
            </m:ctrlPr>
          </m:sSubPr>
          <m:e>
            <m:r>
              <w:rPr>
                <w:rFonts w:ascii="Cambria Math" w:hAnsi="Cambria Math" w:eastAsia="仿宋_GB2312" w:cs="Times New Roman"/>
              </w:rPr>
              <m:t>Z</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oMath>
      <w:r>
        <w:rPr>
          <w:rFonts w:ascii="Times New Roman" w:hAnsi="Times New Roman" w:eastAsia="仿宋_GB2312" w:cs="Times New Roman"/>
        </w:rPr>
        <w:t>是基月月度规下道路货运量和货物周转量；</w:t>
      </w:r>
      <m:oMath>
        <m:r>
          <w:rPr>
            <w:rFonts w:ascii="Cambria Math" w:hAnsi="Cambria Math" w:eastAsia="仿宋_GB2312" w:cs="Times New Roman"/>
          </w:rPr>
          <m:t>C</m:t>
        </m:r>
        <m:r>
          <m:rPr>
            <m:sty m:val="p"/>
          </m:rPr>
          <w:rPr>
            <w:rFonts w:ascii="Cambria Math" w:hAnsi="Cambria Math" w:eastAsia="仿宋_GB2312" w:cs="Times New Roman"/>
          </w:rPr>
          <m:t>和</m:t>
        </m:r>
        <m:r>
          <w:rPr>
            <w:rFonts w:ascii="Cambria Math" w:hAnsi="Cambria Math" w:eastAsia="仿宋_GB2312" w:cs="Times New Roman"/>
          </w:rPr>
          <m:t>S</m:t>
        </m:r>
      </m:oMath>
      <w:r>
        <w:rPr>
          <w:rFonts w:ascii="Times New Roman" w:hAnsi="Times New Roman" w:eastAsia="仿宋_GB2312" w:cs="Times New Roman"/>
        </w:rPr>
        <w:t>分别是当月月度车货总重和∑（车货总重*行驶里程）；</w:t>
      </w:r>
      <m:oMath>
        <m:sSub>
          <m:sSubPr>
            <m:ctrlPr>
              <w:rPr>
                <w:rFonts w:ascii="Cambria Math" w:hAnsi="Cambria Math" w:eastAsia="仿宋_GB2312" w:cs="Times New Roman"/>
              </w:rPr>
            </m:ctrlPr>
          </m:sSubPr>
          <m:e>
            <m:r>
              <w:rPr>
                <w:rFonts w:ascii="Cambria Math" w:hAnsi="Cambria Math" w:eastAsia="仿宋_GB2312" w:cs="Times New Roman"/>
              </w:rPr>
              <m:t>C</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r>
          <m:rPr>
            <m:sty m:val="p"/>
          </m:rPr>
          <w:rPr>
            <w:rFonts w:ascii="Cambria Math" w:hAnsi="Cambria Math" w:eastAsia="仿宋_GB2312" w:cs="Times New Roman"/>
          </w:rPr>
          <m:t>和</m:t>
        </m:r>
        <m:sSub>
          <m:sSubPr>
            <m:ctrlPr>
              <w:rPr>
                <w:rFonts w:ascii="Cambria Math" w:hAnsi="Cambria Math" w:eastAsia="仿宋_GB2312" w:cs="Times New Roman"/>
              </w:rPr>
            </m:ctrlPr>
          </m:sSubPr>
          <m:e>
            <m:r>
              <w:rPr>
                <w:rFonts w:ascii="Cambria Math" w:hAnsi="Cambria Math" w:eastAsia="仿宋_GB2312" w:cs="Times New Roman"/>
              </w:rPr>
              <m:t>S</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oMath>
      <w:r>
        <w:rPr>
          <w:rFonts w:ascii="Times New Roman" w:hAnsi="Times New Roman" w:eastAsia="仿宋_GB2312" w:cs="Times New Roman"/>
        </w:rPr>
        <w:t>基月月度车货总重和∑（车货总重*行驶里程）。</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高速公路收费站数据来源于湖北省高速公路联网收费中心。</w:t>
      </w:r>
    </w:p>
    <w:p>
      <w:pPr>
        <w:pStyle w:val="5"/>
        <w:spacing w:before="190" w:after="190"/>
        <w:rPr>
          <w:rFonts w:ascii="Times New Roman" w:hAnsi="Times New Roman" w:cs="Times New Roman"/>
        </w:rPr>
      </w:pPr>
      <w:r>
        <w:rPr>
          <w:rFonts w:ascii="Times New Roman" w:hAnsi="Times New Roman" w:cs="Times New Roman"/>
        </w:rPr>
        <w:t>普通国省道交通量数据</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每月采集自动化观测设备调查的普通国省道交通量观测站点数据，包括各站点的站点名称、站点编号、站点所在地、货车各车型日均交通量、观测天数等。利用各市州辖区内普通国省道交通量观测站点的汇总数据计算各市州的日均断面交通量与基数相比的变化率，作为各市州的货运量和货物周转量的波动系数之二。具体公式为：</w:t>
      </w:r>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(2)</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H</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L</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L</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(2)</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Z</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L</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L</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sSup>
          <m:sSupPr>
            <m:ctrlPr>
              <w:rPr>
                <w:rFonts w:ascii="Cambria Math" w:hAnsi="Cambria Math" w:eastAsia="仿宋_GB2312" w:cs="Times New Roman"/>
              </w:rPr>
            </m:ctrlPr>
          </m:sSupPr>
          <m:e>
            <m:r>
              <w:rPr>
                <w:rFonts w:ascii="Cambria Math" w:hAnsi="Cambria Math" w:eastAsia="仿宋_GB2312" w:cs="Times New Roman"/>
              </w:rPr>
              <m:t>H</m:t>
            </m:r>
            <m:ctrlPr>
              <w:rPr>
                <w:rFonts w:ascii="Cambria Math" w:hAnsi="Cambria Math" w:eastAsia="仿宋_GB2312" w:cs="Times New Roman"/>
              </w:rPr>
            </m:ctrlPr>
          </m:e>
          <m:sup>
            <m:r>
              <m:rPr>
                <m:sty m:val="p"/>
              </m:rPr>
              <w:rPr>
                <w:rFonts w:ascii="Cambria Math" w:hAnsi="Cambria Math" w:eastAsia="仿宋_GB2312" w:cs="Times New Roman"/>
              </w:rPr>
              <m:t>(2)</m:t>
            </m:r>
            <m:ctrlPr>
              <w:rPr>
                <w:rFonts w:ascii="Cambria Math" w:hAnsi="Cambria Math" w:eastAsia="仿宋_GB2312" w:cs="Times New Roman"/>
              </w:rPr>
            </m:ctrlPr>
          </m:sup>
        </m:sSup>
        <m:r>
          <m:rPr>
            <m:sty m:val="p"/>
          </m:rPr>
          <w:rPr>
            <w:rFonts w:ascii="Cambria Math" w:hAnsi="Cambria Math" w:eastAsia="仿宋_GB2312" w:cs="Times New Roman"/>
          </w:rPr>
          <m:t>和</m:t>
        </m:r>
        <m:sSup>
          <m:sSupPr>
            <m:ctrlPr>
              <w:rPr>
                <w:rFonts w:ascii="Cambria Math" w:hAnsi="Cambria Math" w:eastAsia="仿宋_GB2312" w:cs="Times New Roman"/>
              </w:rPr>
            </m:ctrlPr>
          </m:sSupPr>
          <m:e>
            <m:r>
              <w:rPr>
                <w:rFonts w:ascii="Cambria Math" w:hAnsi="Cambria Math" w:eastAsia="仿宋_GB2312" w:cs="Times New Roman"/>
              </w:rPr>
              <m:t>Z</m:t>
            </m:r>
            <m:ctrlPr>
              <w:rPr>
                <w:rFonts w:ascii="Cambria Math" w:hAnsi="Cambria Math" w:eastAsia="仿宋_GB2312" w:cs="Times New Roman"/>
              </w:rPr>
            </m:ctrlPr>
          </m:e>
          <m:sup>
            <m:r>
              <m:rPr>
                <m:sty m:val="p"/>
              </m:rPr>
              <w:rPr>
                <w:rFonts w:ascii="Cambria Math" w:hAnsi="Cambria Math" w:eastAsia="仿宋_GB2312" w:cs="Times New Roman"/>
              </w:rPr>
              <m:t>(2)</m:t>
            </m:r>
            <m:ctrlPr>
              <w:rPr>
                <w:rFonts w:ascii="Cambria Math" w:hAnsi="Cambria Math" w:eastAsia="仿宋_GB2312" w:cs="Times New Roman"/>
              </w:rPr>
            </m:ctrlPr>
          </m:sup>
        </m:sSup>
      </m:oMath>
      <w:r>
        <w:rPr>
          <w:rFonts w:ascii="Times New Roman" w:hAnsi="Times New Roman" w:eastAsia="仿宋_GB2312" w:cs="Times New Roman"/>
        </w:rPr>
        <w:t>是通过普通国省道交通量数据初步推算的各市州规下货物运输量和货物周转量，</w:t>
      </w:r>
      <m:oMath>
        <m:r>
          <w:rPr>
            <w:rFonts w:ascii="Cambria Math" w:hAnsi="Cambria Math" w:eastAsia="仿宋_GB2312" w:cs="Times New Roman"/>
          </w:rPr>
          <m:t>L</m:t>
        </m:r>
        <m:r>
          <m:rPr>
            <m:sty m:val="p"/>
          </m:rPr>
          <w:rPr>
            <w:rFonts w:ascii="Cambria Math" w:hAnsi="Cambria Math" w:eastAsia="仿宋_GB2312" w:cs="Times New Roman"/>
          </w:rPr>
          <m:t>和</m:t>
        </m:r>
        <m:sSub>
          <m:sSubPr>
            <m:ctrlPr>
              <w:rPr>
                <w:rFonts w:ascii="Cambria Math" w:hAnsi="Cambria Math" w:eastAsia="仿宋_GB2312" w:cs="Times New Roman"/>
              </w:rPr>
            </m:ctrlPr>
          </m:sSubPr>
          <m:e>
            <m:r>
              <w:rPr>
                <w:rFonts w:ascii="Cambria Math" w:hAnsi="Cambria Math" w:eastAsia="仿宋_GB2312" w:cs="Times New Roman"/>
              </w:rPr>
              <m:t>L</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oMath>
      <w:r>
        <w:rPr>
          <w:rFonts w:ascii="Times New Roman" w:hAnsi="Times New Roman" w:eastAsia="仿宋_GB2312" w:cs="Times New Roman"/>
        </w:rPr>
        <w:t>分别是当月月度交通量和基月月度交通量。</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普通国省道交通量数据来源于湖北省公路事业发展中心。</w:t>
      </w:r>
    </w:p>
    <w:p>
      <w:pPr>
        <w:pStyle w:val="5"/>
        <w:spacing w:before="190" w:after="190"/>
        <w:rPr>
          <w:rFonts w:ascii="Times New Roman" w:hAnsi="Times New Roman" w:cs="Times New Roman"/>
        </w:rPr>
      </w:pPr>
      <w:r>
        <w:rPr>
          <w:rFonts w:ascii="Times New Roman" w:hAnsi="Times New Roman" w:cs="Times New Roman"/>
        </w:rPr>
        <w:t>运力数据</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运力数据道路运输行业的常规统计数据之一，其与货物运输量总体规模具有较强的相关性。每月收集运政库中道路货运业户的营运货车吨位数，其统计范围为本市州注册的营运货车吨位数。利用各市州辖区内运政库中道路货运业户的汇总数据计算各市州的营运货车吨位数与基数相比的变化率，作为各市州的货运量和货物周转量的波动系数之三。具体公式为：</w:t>
      </w:r>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(3)</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H</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D</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D</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ind w:firstLine="600"/>
        <w:rPr>
          <w:rFonts w:ascii="Times New Roman" w:hAnsi="Times New Roman" w:eastAsia="仿宋_GB2312" w:cs="Times New Roman"/>
          <w:sz w:val="30"/>
          <w:szCs w:val="30"/>
        </w:rPr>
      </w:pPr>
      <m:oMathPara>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(3)</m:t>
              </m:r>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Z</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r>
            <m:rPr>
              <m:sty m:val="p"/>
            </m:rPr>
            <w:rPr>
              <w:rFonts w:ascii="Cambria Math" w:hAnsi="Cambria Math" w:eastAsia="仿宋_GB2312" w:cs="Times New Roman"/>
              <w:sz w:val="30"/>
              <w:szCs w:val="30"/>
            </w:rPr>
            <m:t>×</m:t>
          </m:r>
          <m:f>
            <m:fPr>
              <m:ctrlPr>
                <w:rPr>
                  <w:rFonts w:ascii="Cambria Math" w:hAnsi="Cambria Math" w:eastAsia="仿宋_GB2312" w:cs="Times New Roman"/>
                  <w:sz w:val="30"/>
                  <w:szCs w:val="30"/>
                </w:rPr>
              </m:ctrlPr>
            </m:fPr>
            <m:num>
              <m:r>
                <w:rPr>
                  <w:rFonts w:ascii="Cambria Math" w:hAnsi="Cambria Math" w:eastAsia="仿宋_GB2312" w:cs="Times New Roman"/>
                  <w:sz w:val="30"/>
                  <w:szCs w:val="30"/>
                </w:rPr>
                <m:t>D</m:t>
              </m:r>
              <m:ctrlPr>
                <w:rPr>
                  <w:rFonts w:ascii="Cambria Math" w:hAnsi="Cambria Math" w:eastAsia="仿宋_GB2312" w:cs="Times New Roman"/>
                  <w:sz w:val="30"/>
                  <w:szCs w:val="30"/>
                </w:rPr>
              </m:ctrlPr>
            </m:num>
            <m:den>
              <m:sSub>
                <m:sSubPr>
                  <m:ctrlPr>
                    <w:rPr>
                      <w:rFonts w:ascii="Cambria Math" w:hAnsi="Cambria Math" w:eastAsia="仿宋_GB2312" w:cs="Times New Roman"/>
                      <w:sz w:val="30"/>
                      <w:szCs w:val="30"/>
                    </w:rPr>
                  </m:ctrlPr>
                </m:sSubPr>
                <m:e>
                  <m:r>
                    <w:rPr>
                      <w:rFonts w:ascii="Cambria Math" w:hAnsi="Cambria Math" w:eastAsia="仿宋_GB2312" w:cs="Times New Roman"/>
                      <w:sz w:val="30"/>
                      <w:szCs w:val="30"/>
                    </w:rPr>
                    <m:t>D</m:t>
                  </m:r>
                  <m:ctrlPr>
                    <w:rPr>
                      <w:rFonts w:ascii="Cambria Math" w:hAnsi="Cambria Math" w:eastAsia="仿宋_GB2312" w:cs="Times New Roman"/>
                      <w:sz w:val="30"/>
                      <w:szCs w:val="30"/>
                    </w:rPr>
                  </m:ctrlPr>
                </m:e>
                <m:sub>
                  <m:r>
                    <w:rPr>
                      <w:rFonts w:ascii="Cambria Math" w:hAnsi="Cambria Math" w:eastAsia="仿宋_GB2312" w:cs="Times New Roman"/>
                      <w:sz w:val="30"/>
                      <w:szCs w:val="30"/>
                    </w:rPr>
                    <m:t>d</m:t>
                  </m:r>
                  <m:ctrlPr>
                    <w:rPr>
                      <w:rFonts w:ascii="Cambria Math" w:hAnsi="Cambria Math" w:eastAsia="仿宋_GB2312" w:cs="Times New Roman"/>
                      <w:sz w:val="30"/>
                      <w:szCs w:val="30"/>
                    </w:rPr>
                  </m:ctrlPr>
                </m:sub>
              </m:sSub>
              <m:ctrlPr>
                <w:rPr>
                  <w:rFonts w:ascii="Cambria Math" w:hAnsi="Cambria Math" w:eastAsia="仿宋_GB2312" w:cs="Times New Roman"/>
                  <w:sz w:val="30"/>
                  <w:szCs w:val="30"/>
                </w:rPr>
              </m:ctrlPr>
            </m:den>
          </m:f>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sSup>
          <m:sSupPr>
            <m:ctrlPr>
              <w:rPr>
                <w:rFonts w:ascii="Cambria Math" w:hAnsi="Cambria Math" w:eastAsia="仿宋_GB2312" w:cs="Times New Roman"/>
              </w:rPr>
            </m:ctrlPr>
          </m:sSupPr>
          <m:e>
            <m:r>
              <w:rPr>
                <w:rFonts w:ascii="Cambria Math" w:hAnsi="Cambria Math" w:eastAsia="仿宋_GB2312" w:cs="Times New Roman"/>
              </w:rPr>
              <m:t>H</m:t>
            </m:r>
            <m:ctrlPr>
              <w:rPr>
                <w:rFonts w:ascii="Cambria Math" w:hAnsi="Cambria Math" w:eastAsia="仿宋_GB2312" w:cs="Times New Roman"/>
              </w:rPr>
            </m:ctrlPr>
          </m:e>
          <m:sup>
            <m:r>
              <m:rPr>
                <m:sty m:val="p"/>
              </m:rPr>
              <w:rPr>
                <w:rFonts w:ascii="Cambria Math" w:hAnsi="Cambria Math" w:eastAsia="仿宋_GB2312" w:cs="Times New Roman"/>
              </w:rPr>
              <m:t>(3)</m:t>
            </m:r>
            <m:ctrlPr>
              <w:rPr>
                <w:rFonts w:ascii="Cambria Math" w:hAnsi="Cambria Math" w:eastAsia="仿宋_GB2312" w:cs="Times New Roman"/>
              </w:rPr>
            </m:ctrlPr>
          </m:sup>
        </m:sSup>
        <m:r>
          <m:rPr>
            <m:sty m:val="p"/>
          </m:rPr>
          <w:rPr>
            <w:rFonts w:ascii="Cambria Math" w:hAnsi="Cambria Math" w:eastAsia="仿宋_GB2312" w:cs="Times New Roman"/>
          </w:rPr>
          <m:t>和</m:t>
        </m:r>
        <m:sSup>
          <m:sSupPr>
            <m:ctrlPr>
              <w:rPr>
                <w:rFonts w:ascii="Cambria Math" w:hAnsi="Cambria Math" w:eastAsia="仿宋_GB2312" w:cs="Times New Roman"/>
              </w:rPr>
            </m:ctrlPr>
          </m:sSupPr>
          <m:e>
            <m:r>
              <w:rPr>
                <w:rFonts w:ascii="Cambria Math" w:hAnsi="Cambria Math" w:eastAsia="仿宋_GB2312" w:cs="Times New Roman"/>
              </w:rPr>
              <m:t>Z</m:t>
            </m:r>
            <m:ctrlPr>
              <w:rPr>
                <w:rFonts w:ascii="Cambria Math" w:hAnsi="Cambria Math" w:eastAsia="仿宋_GB2312" w:cs="Times New Roman"/>
              </w:rPr>
            </m:ctrlPr>
          </m:e>
          <m:sup>
            <m:r>
              <m:rPr>
                <m:sty m:val="p"/>
              </m:rPr>
              <w:rPr>
                <w:rFonts w:ascii="Cambria Math" w:hAnsi="Cambria Math" w:eastAsia="仿宋_GB2312" w:cs="Times New Roman"/>
              </w:rPr>
              <m:t>(3)</m:t>
            </m:r>
            <m:ctrlPr>
              <w:rPr>
                <w:rFonts w:ascii="Cambria Math" w:hAnsi="Cambria Math" w:eastAsia="仿宋_GB2312" w:cs="Times New Roman"/>
              </w:rPr>
            </m:ctrlPr>
          </m:sup>
        </m:sSup>
      </m:oMath>
      <w:r>
        <w:rPr>
          <w:rFonts w:ascii="Times New Roman" w:hAnsi="Times New Roman" w:eastAsia="仿宋_GB2312" w:cs="Times New Roman"/>
        </w:rPr>
        <w:t>是通过普通国省道交通量数据初步推算的各市州规下货物运输量和货物周转量，</w:t>
      </w:r>
      <m:oMath>
        <m:r>
          <w:rPr>
            <w:rFonts w:ascii="Cambria Math" w:hAnsi="Cambria Math" w:eastAsia="仿宋_GB2312" w:cs="Times New Roman"/>
          </w:rPr>
          <m:t>D</m:t>
        </m:r>
        <m:r>
          <m:rPr>
            <m:sty m:val="p"/>
          </m:rPr>
          <w:rPr>
            <w:rFonts w:ascii="Cambria Math" w:hAnsi="Cambria Math" w:eastAsia="仿宋_GB2312" w:cs="Times New Roman"/>
          </w:rPr>
          <m:t>和</m:t>
        </m:r>
        <m:sSub>
          <m:sSubPr>
            <m:ctrlPr>
              <w:rPr>
                <w:rFonts w:ascii="Cambria Math" w:hAnsi="Cambria Math" w:eastAsia="仿宋_GB2312" w:cs="Times New Roman"/>
              </w:rPr>
            </m:ctrlPr>
          </m:sSubPr>
          <m:e>
            <m:r>
              <w:rPr>
                <w:rFonts w:ascii="Cambria Math" w:hAnsi="Cambria Math" w:eastAsia="仿宋_GB2312" w:cs="Times New Roman"/>
              </w:rPr>
              <m:t>D</m:t>
            </m:r>
            <m:ctrlPr>
              <w:rPr>
                <w:rFonts w:ascii="Cambria Math" w:hAnsi="Cambria Math" w:eastAsia="仿宋_GB2312" w:cs="Times New Roman"/>
              </w:rPr>
            </m:ctrlPr>
          </m:e>
          <m:sub>
            <m:r>
              <w:rPr>
                <w:rFonts w:ascii="Cambria Math" w:hAnsi="Cambria Math" w:eastAsia="仿宋_GB2312" w:cs="Times New Roman"/>
              </w:rPr>
              <m:t>d</m:t>
            </m:r>
            <m:ctrlPr>
              <w:rPr>
                <w:rFonts w:ascii="Cambria Math" w:hAnsi="Cambria Math" w:eastAsia="仿宋_GB2312" w:cs="Times New Roman"/>
              </w:rPr>
            </m:ctrlPr>
          </m:sub>
        </m:sSub>
      </m:oMath>
      <w:r>
        <w:rPr>
          <w:rFonts w:ascii="Times New Roman" w:hAnsi="Times New Roman" w:eastAsia="仿宋_GB2312" w:cs="Times New Roman"/>
        </w:rPr>
        <w:t>分别是当月月度营运货车吨位数和基月月度营运货车吨位数。</w:t>
      </w:r>
    </w:p>
    <w:p>
      <w:pPr>
        <w:adjustRightInd w:val="0"/>
        <w:snapToGrid w:val="0"/>
        <w:spacing w:before="0" w:beforeLines="0" w:after="0" w:afterLines="0"/>
        <w:rPr>
          <w:rFonts w:ascii="Times New Roman" w:hAnsi="Times New Roman" w:eastAsia="仿宋_GB2312" w:cs="Times New Roman"/>
        </w:rPr>
      </w:pPr>
      <w:r>
        <w:rPr>
          <w:rFonts w:hint="eastAsia" w:ascii="Times New Roman" w:hAnsi="Times New Roman" w:eastAsia="仿宋_GB2312" w:cs="Times New Roman"/>
        </w:rPr>
        <w:t>运力数据来源于湖北省货运物流事业发展中心。</w:t>
      </w:r>
    </w:p>
    <w:p>
      <w:pPr>
        <w:pStyle w:val="5"/>
        <w:spacing w:before="190" w:after="190"/>
        <w:rPr>
          <w:rFonts w:ascii="Times New Roman" w:hAnsi="Times New Roman" w:cs="Times New Roman"/>
        </w:rPr>
      </w:pPr>
      <w:r>
        <w:rPr>
          <w:rFonts w:ascii="Times New Roman" w:hAnsi="Times New Roman" w:cs="Times New Roman"/>
        </w:rPr>
        <w:t>加权计算</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将上述方法计算获得的货物运输量进行加权计算，获得各地市货物运输量初步推算结果。计算公式如下：</w:t>
      </w:r>
    </w:p>
    <w:p>
      <w:pPr>
        <w:adjustRightInd w:val="0"/>
        <w:snapToGrid w:val="0"/>
        <w:spacing w:before="0" w:beforeLines="0" w:after="0" w:afterLines="0"/>
        <w:ind w:firstLine="600"/>
        <w:rPr>
          <w:rFonts w:ascii="Times New Roman" w:hAnsi="Times New Roman" w:eastAsia="仿宋_GB2312" w:cs="Times New Roman"/>
          <w:iCs/>
          <w:sz w:val="30"/>
          <w:szCs w:val="30"/>
        </w:rPr>
      </w:pPr>
      <m:oMathPara>
        <m:oMathParaPr>
          <m:jc m:val="center"/>
        </m:oMathParaPr>
        <m:oMath>
          <m:sSup>
            <m:sSupPr>
              <m:ctrlPr>
                <w:rPr>
                  <w:rFonts w:ascii="Cambria Math" w:hAnsi="Cambria Math" w:eastAsia="仿宋_GB2312" w:cs="Times New Roman"/>
                  <w:i/>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
                  <w:sz w:val="30"/>
                  <w:szCs w:val="30"/>
                </w:rPr>
              </m:ctrlPr>
            </m:e>
            <m:sup>
              <m:r>
                <w:rPr>
                  <w:rFonts w:ascii="Cambria Math" w:hAnsi="Cambria Math" w:eastAsia="仿宋_GB2312" w:cs="Times New Roman"/>
                  <w:sz w:val="30"/>
                  <w:szCs w:val="30"/>
                </w:rPr>
                <m:t>'</m:t>
              </m:r>
              <m:ctrlPr>
                <w:rPr>
                  <w:rFonts w:ascii="Cambria Math" w:hAnsi="Cambria Math" w:eastAsia="仿宋_GB2312" w:cs="Times New Roman"/>
                  <w:i/>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1</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1,1</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2</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1,2</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H</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w:rPr>
                      <w:rFonts w:ascii="Cambria Math" w:hAnsi="Cambria Math" w:eastAsia="仿宋_GB2312" w:cs="Times New Roman"/>
                      <w:sz w:val="30"/>
                      <w:szCs w:val="30"/>
                    </w:rPr>
                    <m:t>3</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1,3</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oMath>
      </m:oMathPara>
    </w:p>
    <w:p>
      <w:pPr>
        <w:adjustRightInd w:val="0"/>
        <w:snapToGrid w:val="0"/>
        <w:spacing w:before="0" w:beforeLines="0" w:after="0" w:afterLines="0"/>
        <w:ind w:firstLine="600"/>
        <w:rPr>
          <w:rFonts w:ascii="Times New Roman" w:hAnsi="Times New Roman" w:eastAsia="仿宋_GB2312" w:cs="Times New Roman"/>
          <w:iCs/>
          <w:sz w:val="30"/>
          <w:szCs w:val="30"/>
        </w:rPr>
      </w:pPr>
      <m:oMathPara>
        <m:oMathParaPr>
          <m:jc m:val="center"/>
        </m:oMathParaPr>
        <m:oMath>
          <m:sSup>
            <m:sSupPr>
              <m:ctrlPr>
                <w:rPr>
                  <w:rFonts w:ascii="Cambria Math" w:hAnsi="Cambria Math" w:eastAsia="仿宋_GB2312" w:cs="Times New Roman"/>
                  <w:i/>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
                  <w:sz w:val="30"/>
                  <w:szCs w:val="30"/>
                </w:rPr>
              </m:ctrlPr>
            </m:e>
            <m:sup>
              <m:r>
                <w:rPr>
                  <w:rFonts w:ascii="Cambria Math" w:hAnsi="Cambria Math" w:eastAsia="仿宋_GB2312" w:cs="Times New Roman"/>
                  <w:sz w:val="30"/>
                  <w:szCs w:val="30"/>
                </w:rPr>
                <m:t>'</m:t>
              </m:r>
              <m:ctrlPr>
                <w:rPr>
                  <w:rFonts w:ascii="Cambria Math" w:hAnsi="Cambria Math" w:eastAsia="仿宋_GB2312" w:cs="Times New Roman"/>
                  <w:i/>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1</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2,1</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2</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2,2</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Z</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w:rPr>
                      <w:rFonts w:ascii="Cambria Math" w:hAnsi="Cambria Math" w:eastAsia="仿宋_GB2312" w:cs="Times New Roman"/>
                      <w:sz w:val="30"/>
                      <w:szCs w:val="30"/>
                    </w:rPr>
                    <m:t>3</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r>
            <m:rPr>
              <m:sty m:val="p"/>
            </m:rPr>
            <w:rPr>
              <w:rFonts w:ascii="Cambria Math" w:hAnsi="Cambria Math" w:eastAsia="仿宋_GB2312" w:cs="Times New Roman"/>
              <w:sz w:val="30"/>
              <w:szCs w:val="30"/>
            </w:rPr>
            <m:t>×</m:t>
          </m:r>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d>
                <m:dPr>
                  <m:ctrlPr>
                    <w:rPr>
                      <w:rFonts w:ascii="Cambria Math" w:hAnsi="Cambria Math" w:eastAsia="仿宋_GB2312" w:cs="Times New Roman"/>
                      <w:sz w:val="30"/>
                      <w:szCs w:val="30"/>
                    </w:rPr>
                  </m:ctrlPr>
                </m:dPr>
                <m:e>
                  <m:r>
                    <m:rPr>
                      <m:sty m:val="p"/>
                    </m:rPr>
                    <w:rPr>
                      <w:rFonts w:ascii="Cambria Math" w:hAnsi="Cambria Math" w:eastAsia="仿宋_GB2312" w:cs="Times New Roman"/>
                      <w:sz w:val="30"/>
                      <w:szCs w:val="30"/>
                    </w:rPr>
                    <m:t>2,3</m:t>
                  </m:r>
                  <m:ctrlPr>
                    <w:rPr>
                      <w:rFonts w:ascii="Cambria Math" w:hAnsi="Cambria Math" w:eastAsia="仿宋_GB2312" w:cs="Times New Roman"/>
                      <w:sz w:val="30"/>
                      <w:szCs w:val="30"/>
                    </w:rPr>
                  </m:ctrlPr>
                </m:e>
              </m:d>
              <m:ctrlPr>
                <w:rPr>
                  <w:rFonts w:ascii="Cambria Math" w:hAnsi="Cambria Math" w:eastAsia="仿宋_GB2312" w:cs="Times New Roman"/>
                  <w:iCs/>
                  <w:sz w:val="30"/>
                  <w:szCs w:val="30"/>
                </w:rPr>
              </m:ctrlPr>
            </m:sup>
          </m:sSup>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权重的选取与省级运输方案保持一致：</w:t>
      </w:r>
    </w:p>
    <w:p>
      <w:pPr>
        <w:adjustRightInd w:val="0"/>
        <w:snapToGrid w:val="0"/>
        <w:spacing w:before="0" w:beforeLines="0" w:after="0" w:afterLines="0"/>
        <w:ind w:firstLine="600"/>
        <w:jc w:val="center"/>
        <w:rPr>
          <w:rFonts w:ascii="Times New Roman" w:hAnsi="Times New Roman" w:eastAsia="仿宋_GB2312" w:cs="Times New Roman"/>
          <w:sz w:val="30"/>
          <w:szCs w:val="30"/>
        </w:rPr>
      </w:pP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(1,1)</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5</w:t>
      </w:r>
      <w:r>
        <w:rPr>
          <w:rFonts w:ascii="Times New Roman" w:hAnsi="Times New Roman" w:eastAsia="仿宋_GB2312" w:cs="Times New Roman"/>
          <w:sz w:val="30"/>
          <w:szCs w:val="30"/>
        </w:rPr>
        <w:t>，</w:t>
      </w: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(1,2)</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3</w:t>
      </w:r>
      <w:r>
        <w:rPr>
          <w:rFonts w:ascii="Times New Roman" w:hAnsi="Times New Roman" w:eastAsia="仿宋_GB2312" w:cs="Times New Roman"/>
          <w:sz w:val="30"/>
          <w:szCs w:val="30"/>
        </w:rPr>
        <w:t>，</w:t>
      </w: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(1,3)</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2</w:t>
      </w:r>
    </w:p>
    <w:p>
      <w:pPr>
        <w:adjustRightInd w:val="0"/>
        <w:snapToGrid w:val="0"/>
        <w:spacing w:before="0" w:beforeLines="0" w:after="0" w:afterLines="0"/>
        <w:ind w:firstLine="600"/>
        <w:jc w:val="center"/>
        <w:rPr>
          <w:rFonts w:ascii="Times New Roman" w:hAnsi="Times New Roman" w:eastAsia="仿宋_GB2312" w:cs="Times New Roman"/>
          <w:sz w:val="30"/>
          <w:szCs w:val="30"/>
        </w:rPr>
      </w:pP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(2,1)</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5</w:t>
      </w:r>
      <w:r>
        <w:rPr>
          <w:rFonts w:ascii="Times New Roman" w:hAnsi="Times New Roman" w:eastAsia="仿宋_GB2312" w:cs="Times New Roman"/>
          <w:sz w:val="30"/>
          <w:szCs w:val="30"/>
        </w:rPr>
        <w:t>，</w:t>
      </w: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(2,2)</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3</w:t>
      </w:r>
      <w:r>
        <w:rPr>
          <w:rFonts w:ascii="Times New Roman" w:hAnsi="Times New Roman" w:eastAsia="仿宋_GB2312" w:cs="Times New Roman"/>
          <w:sz w:val="30"/>
          <w:szCs w:val="30"/>
        </w:rPr>
        <w:t>，</w:t>
      </w:r>
      <m:oMath>
        <m:sSup>
          <m:sSupPr>
            <m:ctrlPr>
              <w:rPr>
                <w:rFonts w:ascii="Cambria Math" w:hAnsi="Cambria Math" w:eastAsia="仿宋_GB2312" w:cs="Times New Roman"/>
                <w:iCs/>
                <w:sz w:val="30"/>
                <w:szCs w:val="30"/>
              </w:rPr>
            </m:ctrlPr>
          </m:sSupPr>
          <m:e>
            <m:r>
              <w:rPr>
                <w:rFonts w:ascii="Cambria Math" w:hAnsi="Cambria Math" w:eastAsia="仿宋_GB2312" w:cs="Times New Roman"/>
                <w:sz w:val="30"/>
                <w:szCs w:val="30"/>
              </w:rPr>
              <m:t>W</m:t>
            </m:r>
            <m:ctrlPr>
              <w:rPr>
                <w:rFonts w:ascii="Cambria Math" w:hAnsi="Cambria Math" w:eastAsia="仿宋_GB2312" w:cs="Times New Roman"/>
                <w:iCs/>
                <w:sz w:val="30"/>
                <w:szCs w:val="30"/>
              </w:rPr>
            </m:ctrlPr>
          </m:e>
          <m:sup>
            <m:r>
              <m:rPr>
                <m:sty m:val="p"/>
              </m:rPr>
              <w:rPr>
                <w:rFonts w:ascii="Cambria Math" w:hAnsi="Cambria Math" w:eastAsia="仿宋_GB2312" w:cs="Times New Roman"/>
                <w:sz w:val="30"/>
                <w:szCs w:val="30"/>
              </w:rPr>
              <m:t>(2,3)</m:t>
            </m:r>
            <m:ctrlPr>
              <w:rPr>
                <w:rFonts w:ascii="Cambria Math" w:hAnsi="Cambria Math" w:eastAsia="仿宋_GB2312" w:cs="Times New Roman"/>
                <w:iCs/>
                <w:sz w:val="30"/>
                <w:szCs w:val="30"/>
              </w:rPr>
            </m:ctrlPr>
          </m:sup>
        </m:sSup>
      </m:oMath>
      <w:r>
        <w:rPr>
          <w:rFonts w:ascii="Times New Roman" w:hAnsi="Times New Roman" w:eastAsia="仿宋_GB2312" w:cs="Times New Roman"/>
          <w:sz w:val="30"/>
          <w:szCs w:val="30"/>
        </w:rPr>
        <w:t>=0.</w:t>
      </w:r>
      <w:r>
        <w:rPr>
          <w:rFonts w:hint="eastAsia" w:ascii="Times New Roman" w:hAnsi="Times New Roman" w:eastAsia="仿宋_GB2312" w:cs="Times New Roman"/>
          <w:sz w:val="30"/>
          <w:szCs w:val="30"/>
        </w:rPr>
        <w:t>2</w:t>
      </w:r>
    </w:p>
    <w:p>
      <w:pPr>
        <w:pStyle w:val="5"/>
        <w:spacing w:before="190" w:after="190"/>
        <w:rPr>
          <w:rFonts w:ascii="Times New Roman" w:hAnsi="Times New Roman" w:cs="Times New Roman"/>
        </w:rPr>
      </w:pPr>
      <w:r>
        <w:rPr>
          <w:rFonts w:ascii="Times New Roman" w:hAnsi="Times New Roman" w:cs="Times New Roman"/>
        </w:rPr>
        <w:t>与</w:t>
      </w:r>
      <w:r>
        <w:rPr>
          <w:rFonts w:hint="eastAsia" w:ascii="Times New Roman" w:hAnsi="Times New Roman" w:cs="Times New Roman"/>
        </w:rPr>
        <w:t>省</w:t>
      </w:r>
      <w:r>
        <w:rPr>
          <w:rFonts w:ascii="Times New Roman" w:hAnsi="Times New Roman" w:cs="Times New Roman"/>
        </w:rPr>
        <w:t>级数据衔接调整方法</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由于各市州初步推算的运输量结果汇总后与全省运输量推算结果会出现差异，因此，需要利用全省货物运输量总量对各市州运输量结果进行调整。各市州当月月度道路货运量和货物周转量的具体计算公式为：</w:t>
      </w:r>
    </w:p>
    <w:p>
      <w:pPr>
        <w:adjustRightInd w:val="0"/>
        <w:snapToGrid w:val="0"/>
        <w:spacing w:before="0" w:beforeLines="0" w:after="0" w:afterLines="0"/>
        <w:rPr>
          <w:rFonts w:ascii="Times New Roman" w:hAnsi="Times New Roman" w:eastAsia="仿宋_GB2312" w:cs="Times New Roman"/>
          <w:szCs w:val="32"/>
        </w:rPr>
      </w:pPr>
      <m:oMathPara>
        <m:oMath>
          <m:sSubSup>
            <m:sSubSupPr>
              <m:ctrlPr>
                <w:rPr>
                  <w:rFonts w:ascii="Cambria Math" w:hAnsi="Cambria Math" w:eastAsia="仿宋_GB2312" w:cs="Times New Roman"/>
                  <w:i/>
                  <w:szCs w:val="32"/>
                </w:rPr>
              </m:ctrlPr>
            </m:sSubSupPr>
            <m:e>
              <m:r>
                <w:rPr>
                  <w:rFonts w:ascii="Cambria Math" w:hAnsi="Cambria Math" w:eastAsia="仿宋_GB2312" w:cs="Times New Roman"/>
                  <w:szCs w:val="32"/>
                </w:rPr>
                <m:t>H</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up>
              <m:r>
                <w:rPr>
                  <w:rFonts w:ascii="Cambria Math" w:hAnsi="Cambria Math" w:eastAsia="仿宋_GB2312" w:cs="Times New Roman"/>
                  <w:szCs w:val="32"/>
                </w:rPr>
                <m:t>'</m:t>
              </m:r>
              <m:ctrlPr>
                <w:rPr>
                  <w:rFonts w:ascii="Cambria Math" w:hAnsi="Cambria Math" w:eastAsia="仿宋_GB2312" w:cs="Times New Roman"/>
                  <w:i/>
                  <w:szCs w:val="32"/>
                </w:rPr>
              </m:ctrlPr>
            </m:sup>
          </m:sSubSup>
          <m:r>
            <w:rPr>
              <w:rFonts w:ascii="Cambria Math" w:hAnsi="Cambria Math" w:eastAsia="仿宋_GB2312" w:cs="Times New Roman"/>
              <w:szCs w:val="32"/>
            </w:rPr>
            <m:t>=</m:t>
          </m:r>
          <m:sSub>
            <m:sSubPr>
              <m:ctrlPr>
                <w:rPr>
                  <w:rFonts w:ascii="Cambria Math" w:hAnsi="Cambria Math" w:eastAsia="仿宋_GB2312" w:cs="Times New Roman"/>
                  <w:i/>
                  <w:szCs w:val="32"/>
                </w:rPr>
              </m:ctrlPr>
            </m:sSubPr>
            <m:e>
              <m:r>
                <w:rPr>
                  <w:rFonts w:ascii="Cambria Math" w:hAnsi="Cambria Math" w:eastAsia="仿宋_GB2312" w:cs="Times New Roman"/>
                  <w:szCs w:val="32"/>
                </w:rPr>
                <m:t>H</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Sub>
          <m:r>
            <w:rPr>
              <w:rFonts w:ascii="Cambria Math" w:hAnsi="Cambria Math" w:eastAsia="仿宋_GB2312" w:cs="Times New Roman"/>
              <w:szCs w:val="32"/>
            </w:rPr>
            <m:t>×</m:t>
          </m:r>
          <m:f>
            <m:fPr>
              <m:ctrlPr>
                <w:rPr>
                  <w:rFonts w:ascii="Cambria Math" w:hAnsi="Cambria Math" w:eastAsia="仿宋_GB2312" w:cs="Times New Roman"/>
                  <w:szCs w:val="32"/>
                </w:rPr>
              </m:ctrlPr>
            </m:fPr>
            <m:num>
              <m:r>
                <w:rPr>
                  <w:rFonts w:ascii="Cambria Math" w:hAnsi="Cambria Math" w:eastAsia="仿宋_GB2312" w:cs="Times New Roman"/>
                  <w:szCs w:val="32"/>
                </w:rPr>
                <m:t>H</m:t>
              </m:r>
              <m:ctrlPr>
                <w:rPr>
                  <w:rFonts w:ascii="Cambria Math" w:hAnsi="Cambria Math" w:eastAsia="仿宋_GB2312" w:cs="Times New Roman"/>
                  <w:szCs w:val="32"/>
                </w:rPr>
              </m:ctrlPr>
            </m:num>
            <m:den>
              <m:r>
                <w:rPr>
                  <w:rFonts w:ascii="Cambria Math" w:hAnsi="Cambria Math" w:eastAsia="仿宋_GB2312" w:cs="Times New Roman"/>
                  <w:szCs w:val="32"/>
                </w:rPr>
                <m:t>∑</m:t>
              </m:r>
              <m:sSub>
                <m:sSubPr>
                  <m:ctrlPr>
                    <w:rPr>
                      <w:rFonts w:ascii="Cambria Math" w:hAnsi="Cambria Math" w:eastAsia="仿宋_GB2312" w:cs="Times New Roman"/>
                      <w:i/>
                      <w:szCs w:val="32"/>
                    </w:rPr>
                  </m:ctrlPr>
                </m:sSubPr>
                <m:e>
                  <m:r>
                    <w:rPr>
                      <w:rFonts w:ascii="Cambria Math" w:hAnsi="Cambria Math" w:eastAsia="仿宋_GB2312" w:cs="Times New Roman"/>
                      <w:szCs w:val="32"/>
                    </w:rPr>
                    <m:t>H</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Sub>
              <m:ctrlPr>
                <w:rPr>
                  <w:rFonts w:ascii="Cambria Math" w:hAnsi="Cambria Math" w:eastAsia="仿宋_GB2312" w:cs="Times New Roman"/>
                  <w:szCs w:val="32"/>
                </w:rPr>
              </m:ctrlPr>
            </m:den>
          </m:f>
        </m:oMath>
      </m:oMathPara>
    </w:p>
    <w:p>
      <w:pPr>
        <w:adjustRightInd w:val="0"/>
        <w:snapToGrid w:val="0"/>
        <w:spacing w:before="0" w:beforeLines="0" w:after="0" w:afterLines="0"/>
        <w:rPr>
          <w:rFonts w:ascii="Times New Roman" w:hAnsi="Times New Roman" w:eastAsia="仿宋_GB2312" w:cs="Times New Roman"/>
          <w:szCs w:val="32"/>
        </w:rPr>
      </w:pPr>
      <m:oMathPara>
        <m:oMath>
          <m:sSubSup>
            <m:sSubSupPr>
              <m:ctrlPr>
                <w:rPr>
                  <w:rFonts w:ascii="Cambria Math" w:hAnsi="Cambria Math" w:eastAsia="仿宋_GB2312" w:cs="Times New Roman"/>
                  <w:i/>
                  <w:szCs w:val="32"/>
                </w:rPr>
              </m:ctrlPr>
            </m:sSubSupPr>
            <m:e>
              <m:r>
                <w:rPr>
                  <w:rFonts w:ascii="Cambria Math" w:hAnsi="Cambria Math" w:eastAsia="仿宋_GB2312" w:cs="Times New Roman"/>
                  <w:szCs w:val="32"/>
                </w:rPr>
                <m:t>Z</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up>
              <m:r>
                <w:rPr>
                  <w:rFonts w:ascii="Cambria Math" w:hAnsi="Cambria Math" w:eastAsia="仿宋_GB2312" w:cs="Times New Roman"/>
                  <w:szCs w:val="32"/>
                </w:rPr>
                <m:t>'</m:t>
              </m:r>
              <m:ctrlPr>
                <w:rPr>
                  <w:rFonts w:ascii="Cambria Math" w:hAnsi="Cambria Math" w:eastAsia="仿宋_GB2312" w:cs="Times New Roman"/>
                  <w:i/>
                  <w:szCs w:val="32"/>
                </w:rPr>
              </m:ctrlPr>
            </m:sup>
          </m:sSubSup>
          <m:r>
            <w:rPr>
              <w:rFonts w:ascii="Cambria Math" w:hAnsi="Cambria Math" w:eastAsia="仿宋_GB2312" w:cs="Times New Roman"/>
              <w:szCs w:val="32"/>
            </w:rPr>
            <m:t>=</m:t>
          </m:r>
          <m:sSub>
            <m:sSubPr>
              <m:ctrlPr>
                <w:rPr>
                  <w:rFonts w:ascii="Cambria Math" w:hAnsi="Cambria Math" w:eastAsia="仿宋_GB2312" w:cs="Times New Roman"/>
                  <w:i/>
                  <w:szCs w:val="32"/>
                </w:rPr>
              </m:ctrlPr>
            </m:sSubPr>
            <m:e>
              <m:r>
                <w:rPr>
                  <w:rFonts w:ascii="Cambria Math" w:hAnsi="Cambria Math" w:eastAsia="仿宋_GB2312" w:cs="Times New Roman"/>
                  <w:szCs w:val="32"/>
                </w:rPr>
                <m:t>Z</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Sub>
          <m:r>
            <w:rPr>
              <w:rFonts w:ascii="Cambria Math" w:hAnsi="Cambria Math" w:eastAsia="仿宋_GB2312" w:cs="Times New Roman"/>
              <w:szCs w:val="32"/>
            </w:rPr>
            <m:t>×</m:t>
          </m:r>
          <m:f>
            <m:fPr>
              <m:ctrlPr>
                <w:rPr>
                  <w:rFonts w:ascii="Cambria Math" w:hAnsi="Cambria Math" w:eastAsia="仿宋_GB2312" w:cs="Times New Roman"/>
                  <w:szCs w:val="32"/>
                </w:rPr>
              </m:ctrlPr>
            </m:fPr>
            <m:num>
              <m:r>
                <w:rPr>
                  <w:rFonts w:ascii="Cambria Math" w:hAnsi="Cambria Math" w:eastAsia="仿宋_GB2312" w:cs="Times New Roman"/>
                  <w:szCs w:val="32"/>
                </w:rPr>
                <m:t>Z</m:t>
              </m:r>
              <m:ctrlPr>
                <w:rPr>
                  <w:rFonts w:ascii="Cambria Math" w:hAnsi="Cambria Math" w:eastAsia="仿宋_GB2312" w:cs="Times New Roman"/>
                  <w:szCs w:val="32"/>
                </w:rPr>
              </m:ctrlPr>
            </m:num>
            <m:den>
              <m:r>
                <w:rPr>
                  <w:rFonts w:ascii="Cambria Math" w:hAnsi="Cambria Math" w:eastAsia="仿宋_GB2312" w:cs="Times New Roman"/>
                  <w:szCs w:val="32"/>
                </w:rPr>
                <m:t>∑</m:t>
              </m:r>
              <m:sSub>
                <m:sSubPr>
                  <m:ctrlPr>
                    <w:rPr>
                      <w:rFonts w:ascii="Cambria Math" w:hAnsi="Cambria Math" w:eastAsia="仿宋_GB2312" w:cs="Times New Roman"/>
                      <w:i/>
                      <w:szCs w:val="32"/>
                    </w:rPr>
                  </m:ctrlPr>
                </m:sSubPr>
                <m:e>
                  <m:r>
                    <w:rPr>
                      <w:rFonts w:ascii="Cambria Math" w:hAnsi="Cambria Math" w:eastAsia="仿宋_GB2312" w:cs="Times New Roman"/>
                      <w:szCs w:val="32"/>
                    </w:rPr>
                    <m:t>Z</m:t>
                  </m:r>
                  <m:ctrlPr>
                    <w:rPr>
                      <w:rFonts w:ascii="Cambria Math" w:hAnsi="Cambria Math" w:eastAsia="仿宋_GB2312" w:cs="Times New Roman"/>
                      <w:i/>
                      <w:szCs w:val="32"/>
                    </w:rPr>
                  </m:ctrlPr>
                </m:e>
                <m:sub>
                  <m:r>
                    <w:rPr>
                      <w:rFonts w:ascii="Cambria Math" w:hAnsi="Cambria Math" w:eastAsia="仿宋_GB2312" w:cs="Times New Roman"/>
                      <w:szCs w:val="32"/>
                    </w:rPr>
                    <m:t>i</m:t>
                  </m:r>
                  <m:ctrlPr>
                    <w:rPr>
                      <w:rFonts w:ascii="Cambria Math" w:hAnsi="Cambria Math" w:eastAsia="仿宋_GB2312" w:cs="Times New Roman"/>
                      <w:i/>
                      <w:szCs w:val="32"/>
                    </w:rPr>
                  </m:ctrlPr>
                </m:sub>
              </m:sSub>
              <m:ctrlPr>
                <w:rPr>
                  <w:rFonts w:ascii="Cambria Math" w:hAnsi="Cambria Math" w:eastAsia="仿宋_GB2312" w:cs="Times New Roman"/>
                  <w:szCs w:val="32"/>
                </w:rPr>
              </m:ctrlPr>
            </m:den>
          </m:f>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r>
          <w:rPr>
            <w:rFonts w:ascii="Cambria Math" w:hAnsi="Cambria Math" w:eastAsia="仿宋_GB2312" w:cs="Times New Roman"/>
          </w:rPr>
          <m:t>H</m:t>
        </m:r>
      </m:oMath>
      <w:r>
        <w:rPr>
          <w:rFonts w:ascii="Times New Roman" w:hAnsi="Times New Roman" w:eastAsia="仿宋_GB2312" w:cs="Times New Roman"/>
        </w:rPr>
        <w:t>和Z分别为全省当月月度道路货运量和周转量；</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Sub>
      </m:oMath>
      <w:r>
        <w:rPr>
          <w:rFonts w:ascii="Times New Roman" w:hAnsi="Times New Roman" w:eastAsia="仿宋_GB2312" w:cs="Times New Roman"/>
        </w:rPr>
        <w:t>和</w:t>
      </w:r>
      <m:oMath>
        <m:sSub>
          <m:sSubPr>
            <m:ctrlPr>
              <w:rPr>
                <w:rFonts w:ascii="Cambria Math" w:hAnsi="Cambria Math" w:eastAsia="仿宋_GB2312" w:cs="Times New Roman"/>
              </w:rPr>
            </m:ctrlPr>
          </m:sSubPr>
          <m:e>
            <m:r>
              <w:rPr>
                <w:rFonts w:ascii="Cambria Math" w:hAnsi="Cambria Math" w:eastAsia="仿宋_GB2312" w:cs="Times New Roman"/>
              </w:rPr>
              <m:t>Z</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Sub>
      </m:oMath>
      <w:r>
        <w:rPr>
          <w:rFonts w:ascii="Times New Roman" w:hAnsi="Times New Roman" w:eastAsia="仿宋_GB2312" w:cs="Times New Roman"/>
        </w:rPr>
        <w:t>分别为第i个市州当月月度道路货运量和周转量的初步推算结果；</w:t>
      </w:r>
      <m:oMath>
        <m:sSubSup>
          <m:sSubSupPr>
            <m:ctrlPr>
              <w:rPr>
                <w:rFonts w:ascii="Cambria Math" w:hAnsi="Cambria Math" w:eastAsia="仿宋_GB2312" w:cs="Times New Roman"/>
              </w:rPr>
            </m:ctrlPr>
          </m:sSubSup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和</w:t>
      </w:r>
      <m:oMath>
        <m:sSubSup>
          <m:sSubSupPr>
            <m:ctrlPr>
              <w:rPr>
                <w:rFonts w:ascii="Cambria Math" w:hAnsi="Cambria Math" w:eastAsia="仿宋_GB2312" w:cs="Times New Roman"/>
              </w:rPr>
            </m:ctrlPr>
          </m:sSubSupPr>
          <m:e>
            <m:r>
              <w:rPr>
                <w:rFonts w:ascii="Cambria Math" w:hAnsi="Cambria Math" w:eastAsia="仿宋_GB2312" w:cs="Times New Roman"/>
              </w:rPr>
              <m:t>Z</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第i个市州当月月度道路货运量和周转量的推算结果。</w:t>
      </w:r>
    </w:p>
    <w:p>
      <w:pPr>
        <w:pStyle w:val="3"/>
      </w:pPr>
      <w:r>
        <w:t>市州间增速协调性调整方法</w:t>
      </w:r>
    </w:p>
    <w:p>
      <w:pPr>
        <w:shd w:val="clear" w:color="auto" w:fill="auto"/>
        <w:adjustRightInd w:val="0"/>
        <w:snapToGrid w:val="0"/>
        <w:spacing w:before="0" w:beforeLines="0" w:after="0" w:afterLines="0"/>
        <w:rPr>
          <w:rFonts w:ascii="Times New Roman" w:hAnsi="Times New Roman" w:eastAsia="仿宋_GB2312" w:cs="Times New Roman"/>
          <w:kern w:val="2"/>
        </w:rPr>
      </w:pPr>
      <w:r>
        <w:rPr>
          <w:rFonts w:ascii="Times New Roman" w:hAnsi="Times New Roman" w:eastAsia="仿宋_GB2312" w:cs="Times New Roman"/>
          <w:kern w:val="2"/>
        </w:rPr>
        <w:t>各市州货物运输量统计指标中，货物运输量增速服务于季度GDP评估和行业增加值核算，因此对运输量指标的代表性和稳定性要求较高。本方案中，涉及了本市州高速公路站点数据和普通国省道交通量数据，但由于在市州一级高速收费站点和普通国省道交通量站点布局有限，对市州一级的数据测算精度将会带来一定程度影响。</w:t>
      </w:r>
    </w:p>
    <w:p>
      <w:pPr>
        <w:shd w:val="clear" w:color="auto" w:fill="auto"/>
        <w:adjustRightInd w:val="0"/>
        <w:snapToGrid w:val="0"/>
        <w:spacing w:before="0" w:beforeLines="0" w:after="0" w:afterLines="0"/>
        <w:rPr>
          <w:rFonts w:ascii="Times New Roman" w:hAnsi="Times New Roman" w:eastAsia="仿宋_GB2312" w:cs="Times New Roman"/>
          <w:kern w:val="2"/>
        </w:rPr>
      </w:pPr>
      <w:r>
        <w:rPr>
          <w:rFonts w:ascii="Times New Roman" w:hAnsi="Times New Roman" w:eastAsia="仿宋_GB2312" w:cs="Times New Roman"/>
          <w:kern w:val="2"/>
        </w:rPr>
        <w:t>为提高运输量增速数据稳定性，避免各市州对其增速数据与周边差异过大引起争议，因此对各市州运输量结果进行增速协调性调整，在不改变各市州增速排名的基础上缩小市州间增速差异。本方案将对市州间增速进行协调性调整，即将各市州增速差异进行线性变换，使结果落在原结果增速的1.5倍标准差内，这样做既可使各市州增速差异缩小，又能在一定程度上区分出各市州差异，并且保证各市州运输量增速的排名位次不会发生变化。具体调整方法如下：</w:t>
      </w:r>
    </w:p>
    <w:p>
      <w:pPr>
        <w:shd w:val="clear" w:color="auto" w:fill="auto"/>
        <w:adjustRightInd w:val="0"/>
        <w:snapToGrid w:val="0"/>
        <w:spacing w:before="0" w:beforeLines="0" w:after="0" w:afterLines="0"/>
        <w:rPr>
          <w:rFonts w:ascii="Times New Roman" w:hAnsi="Times New Roman" w:eastAsia="仿宋_GB2312" w:cs="Times New Roman"/>
          <w:kern w:val="2"/>
        </w:rPr>
      </w:pPr>
      <w:r>
        <w:rPr>
          <w:rFonts w:ascii="Times New Roman" w:hAnsi="Times New Roman" w:eastAsia="仿宋_GB2312" w:cs="Times New Roman"/>
          <w:kern w:val="2"/>
        </w:rPr>
        <w:t>1）按照上述方案的推算结果计算各市州增速。</w:t>
      </w:r>
    </w:p>
    <w:p>
      <w:pPr>
        <w:shd w:val="clear" w:color="auto" w:fill="auto"/>
        <w:adjustRightInd w:val="0"/>
        <w:snapToGrid w:val="0"/>
        <w:spacing w:before="0" w:beforeLines="0" w:after="0" w:afterLines="0"/>
        <w:rPr>
          <w:rFonts w:ascii="Times New Roman" w:hAnsi="Times New Roman" w:eastAsia="仿宋_GB2312" w:cs="Times New Roman"/>
          <w:kern w:val="2"/>
        </w:rPr>
      </w:pPr>
      <w:r>
        <w:rPr>
          <w:rFonts w:ascii="Times New Roman" w:hAnsi="Times New Roman" w:eastAsia="仿宋_GB2312" w:cs="Times New Roman"/>
          <w:kern w:val="2"/>
        </w:rPr>
        <w:t>2）将各市州的增速进行调整，调整公式为：</w:t>
      </w:r>
    </w:p>
    <w:p>
      <w:pPr>
        <w:widowControl w:val="0"/>
        <w:shd w:val="clear" w:color="auto" w:fill="auto"/>
        <w:spacing w:before="100" w:beforeLines="0" w:beforeAutospacing="1" w:after="100" w:afterLines="0" w:afterAutospacing="1" w:line="240" w:lineRule="auto"/>
        <w:ind w:firstLine="0" w:firstLineChars="0"/>
        <w:rPr>
          <w:rFonts w:ascii="Times New Roman" w:hAnsi="Times New Roman" w:eastAsia="仿宋_GB2312" w:cs="Times New Roman"/>
          <w:kern w:val="2"/>
          <w:szCs w:val="22"/>
        </w:rPr>
      </w:pPr>
      <m:oMathPara>
        <m:oMath>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f>
            <m:fPr>
              <m:ctrlPr>
                <w:rPr>
                  <w:rFonts w:ascii="Cambria Math" w:hAnsi="Cambria Math" w:eastAsia="仿宋_GB2312" w:cs="Times New Roman"/>
                  <w:kern w:val="2"/>
                  <w:szCs w:val="22"/>
                </w:rPr>
              </m:ctrlPr>
            </m:fPr>
            <m:num>
              <m:sSub>
                <m:sSubPr>
                  <m:ctrlPr>
                    <w:rPr>
                      <w:rFonts w:ascii="Cambria Math" w:hAnsi="Cambria Math" w:eastAsia="仿宋_GB2312" w:cs="Times New Roman"/>
                      <w:i/>
                      <w:kern w:val="2"/>
                      <w:szCs w:val="22"/>
                    </w:rPr>
                  </m:ctrlPr>
                </m:sSubPr>
                <m:e>
                  <m:sSub>
                    <m:sSubPr>
                      <m:ctrlPr>
                        <w:rPr>
                          <w:rFonts w:ascii="Cambria Math" w:hAnsi="Cambria Math" w:eastAsia="仿宋_GB2312" w:cs="Times New Roman"/>
                          <w:i/>
                          <w:kern w:val="2"/>
                          <w:szCs w:val="22"/>
                        </w:rPr>
                      </m:ctrlPr>
                    </m:sSub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Sub>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min</m:t>
                  </m:r>
                  <m:ctrlPr>
                    <w:rPr>
                      <w:rFonts w:ascii="Cambria Math" w:hAnsi="Cambria Math" w:eastAsia="仿宋_GB2312" w:cs="Times New Roman"/>
                      <w:i/>
                      <w:kern w:val="2"/>
                      <w:szCs w:val="22"/>
                    </w:rPr>
                  </m:ctrlPr>
                </m:sub>
              </m:sSub>
              <m:ctrlPr>
                <w:rPr>
                  <w:rFonts w:ascii="Cambria Math" w:hAnsi="Cambria Math" w:eastAsia="仿宋_GB2312" w:cs="Times New Roman"/>
                  <w:kern w:val="2"/>
                  <w:szCs w:val="22"/>
                </w:rPr>
              </m:ctrlPr>
            </m:num>
            <m:den>
              <m:sSub>
                <m:sSubPr>
                  <m:ctrlPr>
                    <w:rPr>
                      <w:rFonts w:ascii="Cambria Math" w:hAnsi="Cambria Math" w:eastAsia="仿宋_GB2312" w:cs="Times New Roman"/>
                      <w:i/>
                      <w:kern w:val="2"/>
                      <w:szCs w:val="22"/>
                    </w:rPr>
                  </m:ctrlPr>
                </m:sSubPr>
                <m:e>
                  <m:sSub>
                    <m:sSubPr>
                      <m:ctrlPr>
                        <w:rPr>
                          <w:rFonts w:ascii="Cambria Math" w:hAnsi="Cambria Math" w:eastAsia="仿宋_GB2312" w:cs="Times New Roman"/>
                          <w:i/>
                          <w:kern w:val="2"/>
                          <w:szCs w:val="22"/>
                        </w:rPr>
                      </m:ctrlPr>
                    </m:sSub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max</m:t>
                      </m:r>
                      <m:ctrlPr>
                        <w:rPr>
                          <w:rFonts w:ascii="Cambria Math" w:hAnsi="Cambria Math" w:eastAsia="仿宋_GB2312" w:cs="Times New Roman"/>
                          <w:i/>
                          <w:kern w:val="2"/>
                          <w:szCs w:val="22"/>
                        </w:rPr>
                      </m:ctrlPr>
                    </m:sub>
                  </m:sSub>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min</m:t>
                  </m:r>
                  <m:ctrlPr>
                    <w:rPr>
                      <w:rFonts w:ascii="Cambria Math" w:hAnsi="Cambria Math" w:eastAsia="仿宋_GB2312" w:cs="Times New Roman"/>
                      <w:i/>
                      <w:kern w:val="2"/>
                      <w:szCs w:val="22"/>
                    </w:rPr>
                  </m:ctrlPr>
                </m:sub>
              </m:sSub>
              <m:ctrlPr>
                <w:rPr>
                  <w:rFonts w:ascii="Cambria Math" w:hAnsi="Cambria Math" w:eastAsia="仿宋_GB2312" w:cs="Times New Roman"/>
                  <w:kern w:val="2"/>
                  <w:szCs w:val="22"/>
                </w:rPr>
              </m:ctrlPr>
            </m:den>
          </m:f>
          <m:r>
            <w:rPr>
              <w:rFonts w:ascii="Cambria Math" w:hAnsi="Cambria Math" w:eastAsia="仿宋_GB2312" w:cs="Times New Roman"/>
              <w:kern w:val="2"/>
              <w:szCs w:val="22"/>
            </w:rPr>
            <m:t>×1.5</m:t>
          </m:r>
          <m:sSub>
            <m:sSubPr>
              <m:ctrlPr>
                <w:rPr>
                  <w:rFonts w:ascii="Cambria Math" w:hAnsi="Cambria Math" w:eastAsia="仿宋_GB2312" w:cs="Times New Roman"/>
                  <w:i/>
                  <w:kern w:val="2"/>
                  <w:szCs w:val="22"/>
                </w:rPr>
              </m:ctrlPr>
            </m:sSub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std</m:t>
              </m:r>
              <m:ctrlPr>
                <w:rPr>
                  <w:rFonts w:ascii="Cambria Math" w:hAnsi="Cambria Math" w:eastAsia="仿宋_GB2312" w:cs="Times New Roman"/>
                  <w:i/>
                  <w:kern w:val="2"/>
                  <w:szCs w:val="22"/>
                </w:rPr>
              </m:ctrlPr>
            </m:sub>
          </m:sSub>
        </m:oMath>
      </m:oMathPara>
    </w:p>
    <w:p>
      <w:pPr>
        <w:widowControl w:val="0"/>
        <w:shd w:val="clear" w:color="auto" w:fill="auto"/>
        <w:spacing w:before="100" w:beforeLines="0" w:beforeAutospacing="1" w:after="100" w:afterLines="0" w:afterAutospacing="1" w:line="240" w:lineRule="auto"/>
        <w:ind w:firstLine="0" w:firstLineChars="0"/>
        <w:rPr>
          <w:rFonts w:ascii="Times New Roman" w:hAnsi="Times New Roman" w:eastAsia="仿宋_GB2312" w:cs="Times New Roman"/>
          <w:kern w:val="2"/>
          <w:szCs w:val="22"/>
        </w:rPr>
      </w:pPr>
      <m:oMathPara>
        <m:oMath>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acc>
            <m:accPr>
              <m:chr m:val="̅"/>
              <m:ctrlPr>
                <w:rPr>
                  <w:rFonts w:ascii="Cambria Math" w:hAnsi="Cambria Math" w:eastAsia="仿宋_GB2312" w:cs="Times New Roman"/>
                  <w:i/>
                  <w:kern w:val="2"/>
                  <w:szCs w:val="22"/>
                </w:rPr>
              </m:ctrlPr>
            </m:acc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acc>
          <m:r>
            <w:rPr>
              <w:rFonts w:ascii="Cambria Math" w:hAnsi="Cambria Math" w:eastAsia="仿宋_GB2312" w:cs="Times New Roman"/>
              <w:kern w:val="2"/>
              <w:szCs w:val="22"/>
            </w:rPr>
            <m:t>+</m:t>
          </m:r>
          <m:acc>
            <m:accPr>
              <m:chr m:val="̅"/>
              <m:ctrlPr>
                <w:rPr>
                  <w:rFonts w:ascii="Cambria Math" w:hAnsi="Cambria Math" w:eastAsia="仿宋_GB2312" w:cs="Times New Roman"/>
                  <w:i/>
                  <w:kern w:val="2"/>
                  <w:szCs w:val="22"/>
                </w:rPr>
              </m:ctrlPr>
            </m:accPr>
            <m:e>
              <m:sSup>
                <m:sSupPr>
                  <m:ctrlPr>
                    <w:rPr>
                      <w:rFonts w:ascii="Cambria Math" w:hAnsi="Cambria Math" w:eastAsia="仿宋_GB2312" w:cs="Times New Roman"/>
                      <w:i/>
                      <w:kern w:val="2"/>
                      <w:szCs w:val="22"/>
                    </w:rPr>
                  </m:ctrlPr>
                </m:s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p>
              <m:ctrlPr>
                <w:rPr>
                  <w:rFonts w:ascii="Cambria Math" w:hAnsi="Cambria Math" w:eastAsia="仿宋_GB2312" w:cs="Times New Roman"/>
                  <w:i/>
                  <w:kern w:val="2"/>
                  <w:szCs w:val="22"/>
                </w:rPr>
              </m:ctrlPr>
            </m:e>
          </m:acc>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sSubSup>
          <m:sSubSupPr>
            <m:ctrlPr>
              <w:rPr>
                <w:rFonts w:ascii="Cambria Math" w:hAnsi="Cambria Math" w:eastAsia="仿宋_GB2312" w:cs="Times New Roman"/>
              </w:rPr>
            </m:ctrlPr>
          </m:sSubSup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为第i个市州调整后的增速，</w:t>
      </w:r>
      <m:oMath>
        <m:sSubSup>
          <m:sSubSupPr>
            <m:ctrlPr>
              <w:rPr>
                <w:rFonts w:ascii="Cambria Math" w:hAnsi="Cambria Math" w:eastAsia="仿宋_GB2312" w:cs="Times New Roman"/>
              </w:rPr>
            </m:ctrlPr>
          </m:sSubSup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为第i个市州调整中间结果，</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Sub>
      </m:oMath>
      <w:r>
        <w:rPr>
          <w:rFonts w:ascii="Times New Roman" w:hAnsi="Times New Roman" w:eastAsia="仿宋_GB2312" w:cs="Times New Roman"/>
        </w:rPr>
        <w:t>为第i个市州初步推算结果的增速，</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max</m:t>
            </m:r>
            <m:ctrlPr>
              <w:rPr>
                <w:rFonts w:ascii="Cambria Math" w:hAnsi="Cambria Math" w:eastAsia="仿宋_GB2312" w:cs="Times New Roman"/>
              </w:rPr>
            </m:ctrlPr>
          </m:sub>
        </m:sSub>
      </m:oMath>
      <w:r>
        <w:rPr>
          <w:rFonts w:ascii="Times New Roman" w:hAnsi="Times New Roman" w:eastAsia="仿宋_GB2312" w:cs="Times New Roman"/>
        </w:rPr>
        <w:t>为初步推算结果中各市州增速中最大值，</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min</m:t>
            </m:r>
            <m:ctrlPr>
              <w:rPr>
                <w:rFonts w:ascii="Cambria Math" w:hAnsi="Cambria Math" w:eastAsia="仿宋_GB2312" w:cs="Times New Roman"/>
              </w:rPr>
            </m:ctrlPr>
          </m:sub>
        </m:sSub>
      </m:oMath>
      <w:r>
        <w:rPr>
          <w:rFonts w:ascii="Times New Roman" w:hAnsi="Times New Roman" w:eastAsia="仿宋_GB2312" w:cs="Times New Roman"/>
        </w:rPr>
        <w:t>为各市州增速中最低值，</w:t>
      </w:r>
      <m:oMath>
        <m:sSub>
          <m:sSubPr>
            <m:ctrlPr>
              <w:rPr>
                <w:rFonts w:ascii="Cambria Math" w:hAnsi="Cambria Math" w:eastAsia="仿宋_GB2312" w:cs="Times New Roman"/>
              </w:rPr>
            </m:ctrlPr>
          </m:sSub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std</m:t>
            </m:r>
            <m:ctrlPr>
              <w:rPr>
                <w:rFonts w:ascii="Cambria Math" w:hAnsi="Cambria Math" w:eastAsia="仿宋_GB2312" w:cs="Times New Roman"/>
              </w:rPr>
            </m:ctrlPr>
          </m:sub>
        </m:sSub>
      </m:oMath>
      <w:r>
        <w:rPr>
          <w:rFonts w:ascii="Times New Roman" w:hAnsi="Times New Roman" w:eastAsia="仿宋_GB2312" w:cs="Times New Roman"/>
        </w:rPr>
        <w:t>为各市州增速的标准差，</w:t>
      </w:r>
      <m:oMath>
        <m:acc>
          <m:accPr>
            <m:chr m:val="̅"/>
            <m:ctrlPr>
              <w:rPr>
                <w:rFonts w:ascii="Cambria Math" w:hAnsi="Cambria Math" w:eastAsia="仿宋_GB2312" w:cs="Times New Roman"/>
              </w:rPr>
            </m:ctrlPr>
          </m:accPr>
          <m:e>
            <m:r>
              <w:rPr>
                <w:rFonts w:ascii="Cambria Math" w:hAnsi="Cambria Math" w:eastAsia="仿宋_GB2312" w:cs="Times New Roman"/>
              </w:rPr>
              <m:t>h</m:t>
            </m:r>
            <m:ctrlPr>
              <w:rPr>
                <w:rFonts w:ascii="Cambria Math" w:hAnsi="Cambria Math" w:eastAsia="仿宋_GB2312" w:cs="Times New Roman"/>
              </w:rPr>
            </m:ctrlPr>
          </m:e>
        </m:acc>
      </m:oMath>
      <w:r>
        <w:rPr>
          <w:rFonts w:ascii="Times New Roman" w:hAnsi="Times New Roman" w:eastAsia="仿宋_GB2312" w:cs="Times New Roman"/>
        </w:rPr>
        <w:t>为各市州调整中间结果的增速均值，</w:t>
      </w:r>
      <m:oMath>
        <m:acc>
          <m:accPr>
            <m:chr m:val="̅"/>
            <m:ctrlPr>
              <w:rPr>
                <w:rFonts w:ascii="Cambria Math" w:hAnsi="Cambria Math" w:eastAsia="仿宋_GB2312" w:cs="Times New Roman"/>
              </w:rPr>
            </m:ctrlPr>
          </m:accPr>
          <m:e>
            <m:sSup>
              <m:sSupPr>
                <m:ctrlPr>
                  <w:rPr>
                    <w:rFonts w:ascii="Cambria Math" w:hAnsi="Cambria Math" w:eastAsia="仿宋_GB2312" w:cs="Times New Roman"/>
                  </w:rPr>
                </m:ctrlPr>
              </m:sSupPr>
              <m:e>
                <m:r>
                  <w:rPr>
                    <w:rFonts w:ascii="Cambria Math" w:hAnsi="Cambria Math" w:eastAsia="仿宋_GB2312" w:cs="Times New Roman"/>
                  </w:rPr>
                  <m:t>h</m:t>
                </m:r>
                <m:ctrlPr>
                  <w:rPr>
                    <w:rFonts w:ascii="Cambria Math" w:hAnsi="Cambria Math" w:eastAsia="仿宋_GB2312" w:cs="Times New Roman"/>
                  </w:rPr>
                </m:ctrlPr>
              </m:e>
              <m:sup>
                <m:r>
                  <m:rPr>
                    <m:sty m:val="p"/>
                  </m:rPr>
                  <w:rPr>
                    <w:rFonts w:ascii="Cambria Math" w:hAnsi="Cambria Math" w:eastAsia="仿宋_GB2312" w:cs="Times New Roman"/>
                  </w:rPr>
                  <m:t>'</m:t>
                </m:r>
                <m:ctrlPr>
                  <w:rPr>
                    <w:rFonts w:ascii="Cambria Math" w:hAnsi="Cambria Math" w:eastAsia="仿宋_GB2312" w:cs="Times New Roman"/>
                  </w:rPr>
                </m:ctrlPr>
              </m:sup>
            </m:sSup>
            <m:ctrlPr>
              <w:rPr>
                <w:rFonts w:ascii="Cambria Math" w:hAnsi="Cambria Math" w:eastAsia="仿宋_GB2312" w:cs="Times New Roman"/>
              </w:rPr>
            </m:ctrlPr>
          </m:e>
        </m:acc>
      </m:oMath>
      <w:r>
        <w:rPr>
          <w:rFonts w:ascii="Times New Roman" w:hAnsi="Times New Roman" w:eastAsia="仿宋_GB2312" w:cs="Times New Roman"/>
        </w:rPr>
        <w:t>为市级运输量增速。</w:t>
      </w:r>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3）调整后，按照新增速反推各市州货物运输量绝对量，再次根据全省总量进行调整，得到最终各市州货物运输量。具体公式如下：</w:t>
      </w:r>
    </w:p>
    <w:p>
      <w:pPr>
        <w:widowControl w:val="0"/>
        <w:shd w:val="clear" w:color="auto" w:fill="auto"/>
        <w:adjustRightInd w:val="0"/>
        <w:snapToGrid w:val="0"/>
        <w:spacing w:before="100" w:beforeLines="0" w:beforeAutospacing="1" w:after="100" w:afterLines="0" w:afterAutospacing="1" w:line="240" w:lineRule="auto"/>
        <w:ind w:firstLine="0" w:firstLineChars="0"/>
        <w:rPr>
          <w:rFonts w:ascii="Times New Roman" w:hAnsi="Times New Roman" w:eastAsia="仿宋_GB2312" w:cs="Times New Roman"/>
          <w:kern w:val="2"/>
          <w:szCs w:val="22"/>
        </w:rPr>
      </w:pPr>
      <m:oMathPara>
        <m:oMath>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sSub>
            <m:sSubPr>
              <m:ctrlPr>
                <w:rPr>
                  <w:rFonts w:ascii="Cambria Math" w:hAnsi="Cambria Math" w:eastAsia="仿宋_GB2312" w:cs="Times New Roman"/>
                  <w:i/>
                  <w:kern w:val="2"/>
                  <w:szCs w:val="22"/>
                </w:rPr>
              </m:ctrlPr>
            </m:sSubPr>
            <m:e>
              <m:r>
                <w:rPr>
                  <w:rFonts w:ascii="Cambria Math" w:hAnsi="Cambria Math" w:eastAsia="仿宋_GB2312" w:cs="Times New Roman"/>
                  <w:kern w:val="2"/>
                  <w:szCs w:val="22"/>
                </w:rPr>
                <m:t>HL</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Sub>
          <m:r>
            <w:rPr>
              <w:rFonts w:ascii="Cambria Math" w:hAnsi="Cambria Math" w:eastAsia="仿宋_GB2312" w:cs="Times New Roman"/>
              <w:kern w:val="2"/>
              <w:szCs w:val="22"/>
            </w:rPr>
            <m:t>*</m:t>
          </m:r>
          <m:sSubSup>
            <m:sSubSupPr>
              <m:ctrlPr>
                <w:rPr>
                  <w:rFonts w:ascii="Cambria Math" w:hAnsi="Cambria Math" w:eastAsia="仿宋_GB2312" w:cs="Times New Roman"/>
                  <w:i/>
                  <w:kern w:val="2"/>
                  <w:szCs w:val="22"/>
                </w:rPr>
              </m:ctrlPr>
            </m:sSubSupPr>
            <m:e>
              <m:r>
                <m:rPr>
                  <m:sty m:val="p"/>
                </m:rPr>
                <w:rPr>
                  <w:rFonts w:ascii="Cambria Math" w:hAnsi="Cambria Math" w:eastAsia="仿宋_GB2312" w:cs="Times New Roman"/>
                  <w:kern w:val="2"/>
                  <w:szCs w:val="22"/>
                </w:rPr>
                <m:t>(</m:t>
              </m:r>
              <m:r>
                <w:rPr>
                  <w:rFonts w:ascii="Cambria Math" w:hAnsi="Cambria Math" w:eastAsia="仿宋_GB2312" w:cs="Times New Roman"/>
                  <w:kern w:val="2"/>
                  <w:szCs w:val="22"/>
                </w:rPr>
                <m:t>1+h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m:rPr>
              <m:sty m:val="p"/>
            </m:rPr>
            <w:rPr>
              <w:rFonts w:ascii="Cambria Math" w:hAnsi="Cambria Math" w:eastAsia="仿宋_GB2312" w:cs="Times New Roman"/>
              <w:kern w:val="2"/>
              <w:szCs w:val="22"/>
            </w:rPr>
            <m:t>)</m:t>
          </m:r>
        </m:oMath>
      </m:oMathPara>
    </w:p>
    <w:p>
      <w:pPr>
        <w:widowControl w:val="0"/>
        <w:shd w:val="clear" w:color="auto" w:fill="auto"/>
        <w:adjustRightInd w:val="0"/>
        <w:snapToGrid w:val="0"/>
        <w:spacing w:before="100" w:beforeLines="0" w:beforeAutospacing="1" w:after="100" w:afterLines="0" w:afterAutospacing="1" w:line="240" w:lineRule="auto"/>
        <w:ind w:firstLine="0" w:firstLineChars="0"/>
        <w:rPr>
          <w:rFonts w:ascii="Times New Roman" w:hAnsi="Times New Roman" w:eastAsia="仿宋_GB2312" w:cs="Times New Roman"/>
          <w:kern w:val="2"/>
          <w:szCs w:val="22"/>
        </w:rPr>
      </w:pPr>
      <m:oMathPara>
        <m:oMath>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r>
            <w:rPr>
              <w:rFonts w:ascii="Cambria Math" w:hAnsi="Cambria Math" w:eastAsia="仿宋_GB2312" w:cs="Times New Roman"/>
              <w:kern w:val="2"/>
              <w:szCs w:val="22"/>
            </w:rPr>
            <m:t>×</m:t>
          </m:r>
          <m:f>
            <m:fPr>
              <m:ctrlPr>
                <w:rPr>
                  <w:rFonts w:ascii="Cambria Math" w:hAnsi="Cambria Math" w:eastAsia="仿宋_GB2312" w:cs="Times New Roman"/>
                  <w:kern w:val="2"/>
                  <w:szCs w:val="22"/>
                </w:rPr>
              </m:ctrlPr>
            </m:fPr>
            <m:num>
              <m:r>
                <w:rPr>
                  <w:rFonts w:ascii="Cambria Math" w:hAnsi="Cambria Math" w:eastAsia="仿宋_GB2312" w:cs="Times New Roman"/>
                  <w:kern w:val="2"/>
                  <w:szCs w:val="22"/>
                </w:rPr>
                <m:t>H</m:t>
              </m:r>
              <m:ctrlPr>
                <w:rPr>
                  <w:rFonts w:ascii="Cambria Math" w:hAnsi="Cambria Math" w:eastAsia="仿宋_GB2312" w:cs="Times New Roman"/>
                  <w:kern w:val="2"/>
                  <w:szCs w:val="22"/>
                </w:rPr>
              </m:ctrlPr>
            </m:num>
            <m:den>
              <m:nary>
                <m:naryPr>
                  <m:chr m:val="∑"/>
                  <m:limLoc m:val="undOvr"/>
                  <m:subHide m:val="1"/>
                  <m:supHide m:val="1"/>
                  <m:ctrlPr>
                    <w:rPr>
                      <w:rFonts w:ascii="Cambria Math" w:hAnsi="Cambria Math" w:eastAsia="仿宋_GB2312" w:cs="Times New Roman"/>
                      <w:i/>
                      <w:kern w:val="2"/>
                      <w:szCs w:val="22"/>
                    </w:rPr>
                  </m:ctrlPr>
                </m:naryPr>
                <m:sub>
                  <m:ctrlPr>
                    <w:rPr>
                      <w:rFonts w:ascii="Cambria Math" w:hAnsi="Cambria Math" w:eastAsia="仿宋_GB2312" w:cs="Times New Roman"/>
                      <w:i/>
                      <w:kern w:val="2"/>
                      <w:szCs w:val="22"/>
                    </w:rPr>
                  </m:ctrlPr>
                </m:sub>
                <m:sup>
                  <m:ctrlPr>
                    <w:rPr>
                      <w:rFonts w:ascii="Cambria Math" w:hAnsi="Cambria Math" w:eastAsia="仿宋_GB2312" w:cs="Times New Roman"/>
                      <w:i/>
                      <w:kern w:val="2"/>
                      <w:szCs w:val="22"/>
                    </w:rPr>
                  </m:ctrlPr>
                </m:sup>
                <m:e>
                  <m:sSubSup>
                    <m:sSubSupPr>
                      <m:ctrlPr>
                        <w:rPr>
                          <w:rFonts w:ascii="Cambria Math" w:hAnsi="Cambria Math" w:eastAsia="仿宋_GB2312" w:cs="Times New Roman"/>
                          <w:i/>
                          <w:kern w:val="2"/>
                          <w:szCs w:val="22"/>
                        </w:rPr>
                      </m:ctrlPr>
                    </m:sSubSupPr>
                    <m:e>
                      <m:r>
                        <w:rPr>
                          <w:rFonts w:ascii="Cambria Math" w:hAnsi="Cambria Math" w:eastAsia="仿宋_GB2312" w:cs="Times New Roman"/>
                          <w:kern w:val="2"/>
                          <w:szCs w:val="22"/>
                        </w:rPr>
                        <m:t>H</m:t>
                      </m:r>
                      <m:ctrlPr>
                        <w:rPr>
                          <w:rFonts w:ascii="Cambria Math" w:hAnsi="Cambria Math" w:eastAsia="仿宋_GB2312" w:cs="Times New Roman"/>
                          <w:i/>
                          <w:kern w:val="2"/>
                          <w:szCs w:val="22"/>
                        </w:rPr>
                      </m:ctrlPr>
                    </m:e>
                    <m:sub>
                      <m:r>
                        <w:rPr>
                          <w:rFonts w:ascii="Cambria Math" w:hAnsi="Cambria Math" w:eastAsia="仿宋_GB2312" w:cs="Times New Roman"/>
                          <w:kern w:val="2"/>
                          <w:szCs w:val="22"/>
                        </w:rPr>
                        <m:t>i</m:t>
                      </m:r>
                      <m:ctrlPr>
                        <w:rPr>
                          <w:rFonts w:ascii="Cambria Math" w:hAnsi="Cambria Math" w:eastAsia="仿宋_GB2312" w:cs="Times New Roman"/>
                          <w:i/>
                          <w:kern w:val="2"/>
                          <w:szCs w:val="22"/>
                        </w:rPr>
                      </m:ctrlPr>
                    </m:sub>
                    <m:sup>
                      <m:r>
                        <w:rPr>
                          <w:rFonts w:ascii="Cambria Math" w:hAnsi="Cambria Math" w:eastAsia="仿宋_GB2312" w:cs="Times New Roman"/>
                          <w:kern w:val="2"/>
                          <w:szCs w:val="22"/>
                        </w:rPr>
                        <m:t>''</m:t>
                      </m:r>
                      <m:ctrlPr>
                        <w:rPr>
                          <w:rFonts w:ascii="Cambria Math" w:hAnsi="Cambria Math" w:eastAsia="仿宋_GB2312" w:cs="Times New Roman"/>
                          <w:i/>
                          <w:kern w:val="2"/>
                          <w:szCs w:val="22"/>
                        </w:rPr>
                      </m:ctrlPr>
                    </m:sup>
                  </m:sSubSup>
                  <m:ctrlPr>
                    <w:rPr>
                      <w:rFonts w:ascii="Cambria Math" w:hAnsi="Cambria Math" w:eastAsia="仿宋_GB2312" w:cs="Times New Roman"/>
                      <w:i/>
                      <w:kern w:val="2"/>
                      <w:szCs w:val="22"/>
                    </w:rPr>
                  </m:ctrlPr>
                </m:e>
              </m:nary>
              <m:ctrlPr>
                <w:rPr>
                  <w:rFonts w:ascii="Cambria Math" w:hAnsi="Cambria Math" w:eastAsia="仿宋_GB2312" w:cs="Times New Roman"/>
                  <w:kern w:val="2"/>
                  <w:szCs w:val="22"/>
                </w:rPr>
              </m:ctrlPr>
            </m:den>
          </m:f>
        </m:oMath>
      </m:oMathPara>
    </w:p>
    <w:p>
      <w:pPr>
        <w:adjustRightInd w:val="0"/>
        <w:snapToGrid w:val="0"/>
        <w:spacing w:before="0" w:beforeLines="0" w:after="0" w:afterLines="0"/>
        <w:rPr>
          <w:rFonts w:ascii="Times New Roman" w:hAnsi="Times New Roman" w:eastAsia="仿宋_GB2312" w:cs="Times New Roman"/>
        </w:rPr>
      </w:pPr>
      <w:r>
        <w:rPr>
          <w:rFonts w:ascii="Times New Roman" w:hAnsi="Times New Roman" w:eastAsia="仿宋_GB2312" w:cs="Times New Roman"/>
        </w:rPr>
        <w:t>其中：</w:t>
      </w:r>
      <m:oMath>
        <m:sSubSup>
          <m:sSubSupPr>
            <m:ctrlPr>
              <w:rPr>
                <w:rFonts w:ascii="Cambria Math" w:hAnsi="Cambria Math" w:eastAsia="仿宋_GB2312" w:cs="Times New Roman"/>
              </w:rPr>
            </m:ctrlPr>
          </m:sSubSup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为按照新增速反推的第i个市州的当月月度道路货运量（周转量），</w:t>
      </w:r>
      <m:oMath>
        <m:sSub>
          <m:sSubPr>
            <m:ctrlPr>
              <w:rPr>
                <w:rFonts w:ascii="Cambria Math" w:hAnsi="Cambria Math" w:eastAsia="仿宋_GB2312" w:cs="Times New Roman"/>
              </w:rPr>
            </m:ctrlPr>
          </m:sSubPr>
          <m:e>
            <m:r>
              <w:rPr>
                <w:rFonts w:ascii="Cambria Math" w:hAnsi="Cambria Math" w:eastAsia="仿宋_GB2312" w:cs="Times New Roman"/>
              </w:rPr>
              <m:t>HL</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Sub>
      </m:oMath>
      <w:r>
        <w:rPr>
          <w:rFonts w:ascii="Times New Roman" w:hAnsi="Times New Roman" w:eastAsia="仿宋_GB2312" w:cs="Times New Roman"/>
        </w:rPr>
        <w:t>为上一年同期第i个市州的月度道路货运量（周转量），</w:t>
      </w:r>
      <m:oMath>
        <m:sSubSup>
          <m:sSubSupPr>
            <m:ctrlPr>
              <w:rPr>
                <w:rFonts w:ascii="Cambria Math" w:hAnsi="Cambria Math" w:eastAsia="仿宋_GB2312" w:cs="Times New Roman"/>
              </w:rPr>
            </m:ctrlPr>
          </m:sSubSupPr>
          <m:e>
            <m:r>
              <w:rPr>
                <w:rFonts w:ascii="Cambria Math" w:hAnsi="Cambria Math" w:eastAsia="仿宋_GB2312" w:cs="Times New Roman"/>
              </w:rPr>
              <m:t>H</m:t>
            </m:r>
            <m:ctrlPr>
              <w:rPr>
                <w:rFonts w:ascii="Cambria Math" w:hAnsi="Cambria Math" w:eastAsia="仿宋_GB2312" w:cs="Times New Roman"/>
              </w:rPr>
            </m:ctrlPr>
          </m:e>
          <m:sub>
            <m:r>
              <w:rPr>
                <w:rFonts w:ascii="Cambria Math" w:hAnsi="Cambria Math" w:eastAsia="仿宋_GB2312" w:cs="Times New Roman"/>
              </w:rPr>
              <m:t>i</m:t>
            </m:r>
            <m:ctrlPr>
              <w:rPr>
                <w:rFonts w:ascii="Cambria Math" w:hAnsi="Cambria Math" w:eastAsia="仿宋_GB2312" w:cs="Times New Roman"/>
              </w:rPr>
            </m:ctrlPr>
          </m:sub>
          <m:sup>
            <m:r>
              <m:rPr>
                <m:sty m:val="p"/>
              </m:rPr>
              <w:rPr>
                <w:rFonts w:ascii="Cambria Math" w:hAnsi="Cambria Math" w:eastAsia="仿宋_GB2312" w:cs="Times New Roman"/>
              </w:rPr>
              <m:t>'''</m:t>
            </m:r>
            <m:ctrlPr>
              <w:rPr>
                <w:rFonts w:ascii="Cambria Math" w:hAnsi="Cambria Math" w:eastAsia="仿宋_GB2312" w:cs="Times New Roman"/>
              </w:rPr>
            </m:ctrlPr>
          </m:sup>
        </m:sSubSup>
      </m:oMath>
      <w:r>
        <w:rPr>
          <w:rFonts w:ascii="Times New Roman" w:hAnsi="Times New Roman" w:eastAsia="仿宋_GB2312" w:cs="Times New Roman"/>
        </w:rPr>
        <w:t>为最终调整后的第i个市州月度道路货运量（周转量）绝对量。</w:t>
      </w:r>
    </w:p>
    <w:p>
      <w:pPr>
        <w:spacing w:before="190" w:after="190"/>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851" w:gutter="0"/>
      <w:pgNumType w:start="1"/>
      <w:cols w:space="425"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120"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120"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pacing w:before="120" w:after="12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120" w:after="1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120"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120" w:after="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B01EDF"/>
    <w:multiLevelType w:val="multilevel"/>
    <w:tmpl w:val="3AB01EDF"/>
    <w:lvl w:ilvl="0" w:tentative="0">
      <w:start w:val="1"/>
      <w:numFmt w:val="decimal"/>
      <w:pStyle w:val="72"/>
      <w:suff w:val="space"/>
      <w:lvlText w:val="（%1）"/>
      <w:lvlJc w:val="left"/>
      <w:pPr>
        <w:ind w:firstLine="562"/>
      </w:pPr>
      <w:rPr>
        <w:rFonts w:hint="eastAsia" w:cs="Times New Roman"/>
      </w:rPr>
    </w:lvl>
    <w:lvl w:ilvl="1" w:tentative="0">
      <w:start w:val="1"/>
      <w:numFmt w:val="lowerLetter"/>
      <w:lvlText w:val="%2)"/>
      <w:lvlJc w:val="left"/>
      <w:pPr>
        <w:ind w:left="1402" w:hanging="420"/>
      </w:pPr>
      <w:rPr>
        <w:rFonts w:cs="Times New Roman"/>
      </w:rPr>
    </w:lvl>
    <w:lvl w:ilvl="2" w:tentative="0">
      <w:start w:val="1"/>
      <w:numFmt w:val="lowerRoman"/>
      <w:lvlText w:val="%3."/>
      <w:lvlJc w:val="right"/>
      <w:pPr>
        <w:ind w:left="1822" w:hanging="420"/>
      </w:pPr>
      <w:rPr>
        <w:rFonts w:cs="Times New Roman"/>
      </w:rPr>
    </w:lvl>
    <w:lvl w:ilvl="3" w:tentative="0">
      <w:start w:val="1"/>
      <w:numFmt w:val="decimal"/>
      <w:lvlText w:val="%4."/>
      <w:lvlJc w:val="left"/>
      <w:pPr>
        <w:ind w:left="2242" w:hanging="420"/>
      </w:pPr>
      <w:rPr>
        <w:rFonts w:cs="Times New Roman"/>
      </w:rPr>
    </w:lvl>
    <w:lvl w:ilvl="4" w:tentative="0">
      <w:start w:val="1"/>
      <w:numFmt w:val="lowerLetter"/>
      <w:lvlText w:val="%5)"/>
      <w:lvlJc w:val="left"/>
      <w:pPr>
        <w:ind w:left="2662" w:hanging="420"/>
      </w:pPr>
      <w:rPr>
        <w:rFonts w:cs="Times New Roman"/>
      </w:rPr>
    </w:lvl>
    <w:lvl w:ilvl="5" w:tentative="0">
      <w:start w:val="1"/>
      <w:numFmt w:val="lowerRoman"/>
      <w:lvlText w:val="%6."/>
      <w:lvlJc w:val="right"/>
      <w:pPr>
        <w:ind w:left="3082" w:hanging="420"/>
      </w:pPr>
      <w:rPr>
        <w:rFonts w:cs="Times New Roman"/>
      </w:rPr>
    </w:lvl>
    <w:lvl w:ilvl="6" w:tentative="0">
      <w:start w:val="1"/>
      <w:numFmt w:val="decimal"/>
      <w:lvlText w:val="%7."/>
      <w:lvlJc w:val="left"/>
      <w:pPr>
        <w:ind w:left="3502" w:hanging="420"/>
      </w:pPr>
      <w:rPr>
        <w:rFonts w:cs="Times New Roman"/>
      </w:rPr>
    </w:lvl>
    <w:lvl w:ilvl="7" w:tentative="0">
      <w:start w:val="1"/>
      <w:numFmt w:val="lowerLetter"/>
      <w:lvlText w:val="%8)"/>
      <w:lvlJc w:val="left"/>
      <w:pPr>
        <w:ind w:left="3922" w:hanging="420"/>
      </w:pPr>
      <w:rPr>
        <w:rFonts w:cs="Times New Roman"/>
      </w:rPr>
    </w:lvl>
    <w:lvl w:ilvl="8" w:tentative="0">
      <w:start w:val="1"/>
      <w:numFmt w:val="lowerRoman"/>
      <w:lvlText w:val="%9."/>
      <w:lvlJc w:val="right"/>
      <w:pPr>
        <w:ind w:left="4342" w:hanging="420"/>
      </w:pPr>
      <w:rPr>
        <w:rFonts w:cs="Times New Roman"/>
      </w:rPr>
    </w:lvl>
  </w:abstractNum>
  <w:abstractNum w:abstractNumId="1">
    <w:nsid w:val="40780B81"/>
    <w:multiLevelType w:val="multilevel"/>
    <w:tmpl w:val="40780B81"/>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425" w:hanging="425"/>
      </w:pPr>
      <w:rPr>
        <w:rFonts w:hint="eastAsia"/>
      </w:rPr>
    </w:lvl>
    <w:lvl w:ilvl="2" w:tentative="0">
      <w:start w:val="1"/>
      <w:numFmt w:val="decimal"/>
      <w:pStyle w:val="4"/>
      <w:suff w:val="space"/>
      <w:lvlText w:val="%1.%2.%3"/>
      <w:lvlJc w:val="left"/>
      <w:pPr>
        <w:ind w:left="2694" w:hanging="425"/>
      </w:pPr>
      <w:rPr>
        <w:rFonts w:hint="eastAsia"/>
      </w:rPr>
    </w:lvl>
    <w:lvl w:ilvl="3" w:tentative="0">
      <w:start w:val="1"/>
      <w:numFmt w:val="decimal"/>
      <w:pStyle w:val="5"/>
      <w:suff w:val="space"/>
      <w:lvlText w:val="(%4)"/>
      <w:lvlJc w:val="left"/>
      <w:pPr>
        <w:ind w:left="425" w:hanging="28"/>
      </w:pPr>
      <w:rPr>
        <w:rFonts w:hint="eastAsia"/>
      </w:rPr>
    </w:lvl>
    <w:lvl w:ilvl="4" w:tentative="0">
      <w:start w:val="1"/>
      <w:numFmt w:val="decimal"/>
      <w:pStyle w:val="6"/>
      <w:suff w:val="space"/>
      <w:lvlText w:val="%5)"/>
      <w:lvlJc w:val="left"/>
      <w:pPr>
        <w:ind w:left="425" w:hanging="28"/>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
    <w:nsid w:val="53CB4AC0"/>
    <w:multiLevelType w:val="multilevel"/>
    <w:tmpl w:val="53CB4AC0"/>
    <w:lvl w:ilvl="0" w:tentative="0">
      <w:start w:val="1"/>
      <w:numFmt w:val="decimal"/>
      <w:pStyle w:val="59"/>
      <w:suff w:val="space"/>
      <w:lvlText w:val="（%1）"/>
      <w:lvlJc w:val="left"/>
      <w:pPr>
        <w:ind w:left="0" w:firstLine="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1"/>
  </w:num>
  <w:num w:numId="2">
    <w:abstractNumId w:val="2"/>
  </w:num>
  <w:num w:numId="3">
    <w:abstractNumId w:val="0"/>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attachedTemplate r:id="rId1"/>
  <w:trackRevisions w:val="1"/>
  <w:documentProtection w:enforcement="0"/>
  <w:defaultTabStop w:val="42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DEC"/>
    <w:rsid w:val="00000C56"/>
    <w:rsid w:val="00002F1C"/>
    <w:rsid w:val="00004A37"/>
    <w:rsid w:val="00005E3C"/>
    <w:rsid w:val="00005E8C"/>
    <w:rsid w:val="000067E6"/>
    <w:rsid w:val="00006A9D"/>
    <w:rsid w:val="000110BB"/>
    <w:rsid w:val="000115C1"/>
    <w:rsid w:val="00011899"/>
    <w:rsid w:val="00012B4C"/>
    <w:rsid w:val="00013E90"/>
    <w:rsid w:val="00014ACD"/>
    <w:rsid w:val="00016060"/>
    <w:rsid w:val="000160C2"/>
    <w:rsid w:val="000177E8"/>
    <w:rsid w:val="00017ACA"/>
    <w:rsid w:val="00021C1F"/>
    <w:rsid w:val="000226D5"/>
    <w:rsid w:val="0002691A"/>
    <w:rsid w:val="00027669"/>
    <w:rsid w:val="00030072"/>
    <w:rsid w:val="00030A41"/>
    <w:rsid w:val="00030DD8"/>
    <w:rsid w:val="00031302"/>
    <w:rsid w:val="00031B6C"/>
    <w:rsid w:val="00032D8A"/>
    <w:rsid w:val="000334A8"/>
    <w:rsid w:val="00033B4B"/>
    <w:rsid w:val="000348F7"/>
    <w:rsid w:val="000365C7"/>
    <w:rsid w:val="0004090D"/>
    <w:rsid w:val="0004196A"/>
    <w:rsid w:val="00045EF2"/>
    <w:rsid w:val="00047DEC"/>
    <w:rsid w:val="00050B87"/>
    <w:rsid w:val="00051A8E"/>
    <w:rsid w:val="000578F4"/>
    <w:rsid w:val="00060089"/>
    <w:rsid w:val="00060B7C"/>
    <w:rsid w:val="000614EB"/>
    <w:rsid w:val="0006377C"/>
    <w:rsid w:val="0006399E"/>
    <w:rsid w:val="000639BB"/>
    <w:rsid w:val="000644AF"/>
    <w:rsid w:val="0006464D"/>
    <w:rsid w:val="000649EF"/>
    <w:rsid w:val="00065A35"/>
    <w:rsid w:val="00070AA5"/>
    <w:rsid w:val="00070DBE"/>
    <w:rsid w:val="000723FE"/>
    <w:rsid w:val="00072625"/>
    <w:rsid w:val="00073C1C"/>
    <w:rsid w:val="000748A2"/>
    <w:rsid w:val="0007568C"/>
    <w:rsid w:val="00080E69"/>
    <w:rsid w:val="00081094"/>
    <w:rsid w:val="00083EDD"/>
    <w:rsid w:val="0009453F"/>
    <w:rsid w:val="0009459D"/>
    <w:rsid w:val="00094D76"/>
    <w:rsid w:val="0009598F"/>
    <w:rsid w:val="00095C48"/>
    <w:rsid w:val="00097106"/>
    <w:rsid w:val="00097D58"/>
    <w:rsid w:val="000A1A97"/>
    <w:rsid w:val="000A290E"/>
    <w:rsid w:val="000A29A3"/>
    <w:rsid w:val="000A484E"/>
    <w:rsid w:val="000B20C8"/>
    <w:rsid w:val="000B2656"/>
    <w:rsid w:val="000B2D69"/>
    <w:rsid w:val="000B53B4"/>
    <w:rsid w:val="000C3C43"/>
    <w:rsid w:val="000C45F9"/>
    <w:rsid w:val="000C7553"/>
    <w:rsid w:val="000D0398"/>
    <w:rsid w:val="000D1D02"/>
    <w:rsid w:val="000D4446"/>
    <w:rsid w:val="000D51FD"/>
    <w:rsid w:val="000D5674"/>
    <w:rsid w:val="000D5824"/>
    <w:rsid w:val="000D6033"/>
    <w:rsid w:val="000D7F77"/>
    <w:rsid w:val="000E1448"/>
    <w:rsid w:val="000E2125"/>
    <w:rsid w:val="000E5AB1"/>
    <w:rsid w:val="000F0BD7"/>
    <w:rsid w:val="000F1A24"/>
    <w:rsid w:val="000F29DA"/>
    <w:rsid w:val="000F3770"/>
    <w:rsid w:val="000F4949"/>
    <w:rsid w:val="000F4F64"/>
    <w:rsid w:val="000F7FF3"/>
    <w:rsid w:val="00100A32"/>
    <w:rsid w:val="001029AE"/>
    <w:rsid w:val="00103C7D"/>
    <w:rsid w:val="00104AB5"/>
    <w:rsid w:val="00106187"/>
    <w:rsid w:val="00107018"/>
    <w:rsid w:val="001079CF"/>
    <w:rsid w:val="001114C0"/>
    <w:rsid w:val="001124F6"/>
    <w:rsid w:val="001142BB"/>
    <w:rsid w:val="00116B99"/>
    <w:rsid w:val="001220B0"/>
    <w:rsid w:val="00122D3B"/>
    <w:rsid w:val="00123061"/>
    <w:rsid w:val="001235C2"/>
    <w:rsid w:val="00124859"/>
    <w:rsid w:val="00124E35"/>
    <w:rsid w:val="0012510F"/>
    <w:rsid w:val="001357E9"/>
    <w:rsid w:val="0014022A"/>
    <w:rsid w:val="00142630"/>
    <w:rsid w:val="00143556"/>
    <w:rsid w:val="00143977"/>
    <w:rsid w:val="0014429F"/>
    <w:rsid w:val="00147941"/>
    <w:rsid w:val="00153545"/>
    <w:rsid w:val="00153ECE"/>
    <w:rsid w:val="00157320"/>
    <w:rsid w:val="001600CB"/>
    <w:rsid w:val="00161DB5"/>
    <w:rsid w:val="00162BFB"/>
    <w:rsid w:val="001631CA"/>
    <w:rsid w:val="00165B87"/>
    <w:rsid w:val="00167861"/>
    <w:rsid w:val="0017070B"/>
    <w:rsid w:val="00171450"/>
    <w:rsid w:val="0017248B"/>
    <w:rsid w:val="001751A4"/>
    <w:rsid w:val="001814B0"/>
    <w:rsid w:val="00181E11"/>
    <w:rsid w:val="00184623"/>
    <w:rsid w:val="001857E4"/>
    <w:rsid w:val="00191D33"/>
    <w:rsid w:val="001928C5"/>
    <w:rsid w:val="00192DF2"/>
    <w:rsid w:val="001938BB"/>
    <w:rsid w:val="0019481A"/>
    <w:rsid w:val="00196BBA"/>
    <w:rsid w:val="00197372"/>
    <w:rsid w:val="001A0E49"/>
    <w:rsid w:val="001A17B9"/>
    <w:rsid w:val="001A22FF"/>
    <w:rsid w:val="001A258D"/>
    <w:rsid w:val="001A2C91"/>
    <w:rsid w:val="001A366A"/>
    <w:rsid w:val="001A481E"/>
    <w:rsid w:val="001A5DEC"/>
    <w:rsid w:val="001A67B9"/>
    <w:rsid w:val="001A78AB"/>
    <w:rsid w:val="001B09FD"/>
    <w:rsid w:val="001B125A"/>
    <w:rsid w:val="001B21AE"/>
    <w:rsid w:val="001B5B07"/>
    <w:rsid w:val="001B716B"/>
    <w:rsid w:val="001B7976"/>
    <w:rsid w:val="001C224E"/>
    <w:rsid w:val="001C396F"/>
    <w:rsid w:val="001C4720"/>
    <w:rsid w:val="001C4B0D"/>
    <w:rsid w:val="001C4E9A"/>
    <w:rsid w:val="001C52C9"/>
    <w:rsid w:val="001D2591"/>
    <w:rsid w:val="001D2E76"/>
    <w:rsid w:val="001D6604"/>
    <w:rsid w:val="001D77D5"/>
    <w:rsid w:val="001D79EE"/>
    <w:rsid w:val="001D7E0B"/>
    <w:rsid w:val="001E1CA4"/>
    <w:rsid w:val="001E3BD8"/>
    <w:rsid w:val="001E3E6C"/>
    <w:rsid w:val="001E447D"/>
    <w:rsid w:val="001E4728"/>
    <w:rsid w:val="001F0302"/>
    <w:rsid w:val="001F095C"/>
    <w:rsid w:val="001F0C53"/>
    <w:rsid w:val="001F2F27"/>
    <w:rsid w:val="001F65D4"/>
    <w:rsid w:val="001F7304"/>
    <w:rsid w:val="00203247"/>
    <w:rsid w:val="00204043"/>
    <w:rsid w:val="00210170"/>
    <w:rsid w:val="00210FB3"/>
    <w:rsid w:val="00212E79"/>
    <w:rsid w:val="0021573B"/>
    <w:rsid w:val="002157B8"/>
    <w:rsid w:val="002166D8"/>
    <w:rsid w:val="00217D5D"/>
    <w:rsid w:val="00221202"/>
    <w:rsid w:val="00221237"/>
    <w:rsid w:val="002216AA"/>
    <w:rsid w:val="002232CA"/>
    <w:rsid w:val="002232FF"/>
    <w:rsid w:val="002250E1"/>
    <w:rsid w:val="00226199"/>
    <w:rsid w:val="002262EB"/>
    <w:rsid w:val="002266F5"/>
    <w:rsid w:val="002269E7"/>
    <w:rsid w:val="0022743F"/>
    <w:rsid w:val="00230DF7"/>
    <w:rsid w:val="002324B3"/>
    <w:rsid w:val="002332E0"/>
    <w:rsid w:val="00233A7D"/>
    <w:rsid w:val="00234223"/>
    <w:rsid w:val="00234A99"/>
    <w:rsid w:val="00235302"/>
    <w:rsid w:val="002354E0"/>
    <w:rsid w:val="002361EA"/>
    <w:rsid w:val="0023620A"/>
    <w:rsid w:val="00240D49"/>
    <w:rsid w:val="002429C2"/>
    <w:rsid w:val="002435D9"/>
    <w:rsid w:val="00243DBC"/>
    <w:rsid w:val="00244A5F"/>
    <w:rsid w:val="00245EE9"/>
    <w:rsid w:val="00247DE0"/>
    <w:rsid w:val="00251068"/>
    <w:rsid w:val="00251B54"/>
    <w:rsid w:val="00252B0E"/>
    <w:rsid w:val="00253882"/>
    <w:rsid w:val="00253AE3"/>
    <w:rsid w:val="00255004"/>
    <w:rsid w:val="002556F2"/>
    <w:rsid w:val="00256AC5"/>
    <w:rsid w:val="002629E2"/>
    <w:rsid w:val="00262DF4"/>
    <w:rsid w:val="00263C29"/>
    <w:rsid w:val="00267913"/>
    <w:rsid w:val="002705E2"/>
    <w:rsid w:val="00272CCE"/>
    <w:rsid w:val="0027430B"/>
    <w:rsid w:val="00274409"/>
    <w:rsid w:val="00274745"/>
    <w:rsid w:val="00275E28"/>
    <w:rsid w:val="0028017F"/>
    <w:rsid w:val="00280227"/>
    <w:rsid w:val="002823D5"/>
    <w:rsid w:val="00284DDA"/>
    <w:rsid w:val="00284EAB"/>
    <w:rsid w:val="0029376D"/>
    <w:rsid w:val="00295039"/>
    <w:rsid w:val="00295444"/>
    <w:rsid w:val="0029553A"/>
    <w:rsid w:val="002958F4"/>
    <w:rsid w:val="00296946"/>
    <w:rsid w:val="00297525"/>
    <w:rsid w:val="002A115D"/>
    <w:rsid w:val="002A126E"/>
    <w:rsid w:val="002A3733"/>
    <w:rsid w:val="002A5B43"/>
    <w:rsid w:val="002B0B9D"/>
    <w:rsid w:val="002B140A"/>
    <w:rsid w:val="002B16E1"/>
    <w:rsid w:val="002B1B45"/>
    <w:rsid w:val="002B2671"/>
    <w:rsid w:val="002B2EA4"/>
    <w:rsid w:val="002B4D7B"/>
    <w:rsid w:val="002B6941"/>
    <w:rsid w:val="002B6D65"/>
    <w:rsid w:val="002B7E89"/>
    <w:rsid w:val="002C1E06"/>
    <w:rsid w:val="002C215B"/>
    <w:rsid w:val="002C419D"/>
    <w:rsid w:val="002C51DC"/>
    <w:rsid w:val="002C57AE"/>
    <w:rsid w:val="002C75C4"/>
    <w:rsid w:val="002D0756"/>
    <w:rsid w:val="002D1B0E"/>
    <w:rsid w:val="002D2AB8"/>
    <w:rsid w:val="002D40CA"/>
    <w:rsid w:val="002D6144"/>
    <w:rsid w:val="002D6AF5"/>
    <w:rsid w:val="002D6DA5"/>
    <w:rsid w:val="002E1140"/>
    <w:rsid w:val="002E17F3"/>
    <w:rsid w:val="002E1950"/>
    <w:rsid w:val="002E1A51"/>
    <w:rsid w:val="002E1F20"/>
    <w:rsid w:val="002E430B"/>
    <w:rsid w:val="002E4EF8"/>
    <w:rsid w:val="002F22FC"/>
    <w:rsid w:val="002F3669"/>
    <w:rsid w:val="002F4126"/>
    <w:rsid w:val="002F4A77"/>
    <w:rsid w:val="002F5A65"/>
    <w:rsid w:val="002F5AE9"/>
    <w:rsid w:val="002F604A"/>
    <w:rsid w:val="002F7176"/>
    <w:rsid w:val="002F7ADC"/>
    <w:rsid w:val="00301884"/>
    <w:rsid w:val="003038DF"/>
    <w:rsid w:val="00304508"/>
    <w:rsid w:val="00304CBB"/>
    <w:rsid w:val="00306021"/>
    <w:rsid w:val="00307583"/>
    <w:rsid w:val="00310468"/>
    <w:rsid w:val="00310734"/>
    <w:rsid w:val="00311971"/>
    <w:rsid w:val="00311C23"/>
    <w:rsid w:val="003153B0"/>
    <w:rsid w:val="00317010"/>
    <w:rsid w:val="00321956"/>
    <w:rsid w:val="00323010"/>
    <w:rsid w:val="003241B7"/>
    <w:rsid w:val="003257ED"/>
    <w:rsid w:val="00325C47"/>
    <w:rsid w:val="00327553"/>
    <w:rsid w:val="00327C97"/>
    <w:rsid w:val="00330464"/>
    <w:rsid w:val="003308C3"/>
    <w:rsid w:val="00332807"/>
    <w:rsid w:val="00332954"/>
    <w:rsid w:val="0033306A"/>
    <w:rsid w:val="003332D6"/>
    <w:rsid w:val="00333D79"/>
    <w:rsid w:val="003341E9"/>
    <w:rsid w:val="0033516E"/>
    <w:rsid w:val="00335B82"/>
    <w:rsid w:val="00335BF3"/>
    <w:rsid w:val="00335CC3"/>
    <w:rsid w:val="00342374"/>
    <w:rsid w:val="0034336A"/>
    <w:rsid w:val="003437CA"/>
    <w:rsid w:val="00343F20"/>
    <w:rsid w:val="0034410E"/>
    <w:rsid w:val="00344D8E"/>
    <w:rsid w:val="00344E7C"/>
    <w:rsid w:val="00345A25"/>
    <w:rsid w:val="003463FD"/>
    <w:rsid w:val="00347611"/>
    <w:rsid w:val="00347879"/>
    <w:rsid w:val="00350635"/>
    <w:rsid w:val="003511C6"/>
    <w:rsid w:val="00352568"/>
    <w:rsid w:val="0035324C"/>
    <w:rsid w:val="003541B0"/>
    <w:rsid w:val="00354AB9"/>
    <w:rsid w:val="00354CDA"/>
    <w:rsid w:val="003611B8"/>
    <w:rsid w:val="00362A6C"/>
    <w:rsid w:val="0036440B"/>
    <w:rsid w:val="003711C0"/>
    <w:rsid w:val="003716F3"/>
    <w:rsid w:val="00371E7A"/>
    <w:rsid w:val="00374E8E"/>
    <w:rsid w:val="00376BC5"/>
    <w:rsid w:val="00377775"/>
    <w:rsid w:val="00380BB3"/>
    <w:rsid w:val="00382E7A"/>
    <w:rsid w:val="00383555"/>
    <w:rsid w:val="00384EE7"/>
    <w:rsid w:val="003858B6"/>
    <w:rsid w:val="00387F4B"/>
    <w:rsid w:val="0039248B"/>
    <w:rsid w:val="00395776"/>
    <w:rsid w:val="003A0942"/>
    <w:rsid w:val="003A1860"/>
    <w:rsid w:val="003A1874"/>
    <w:rsid w:val="003A28F9"/>
    <w:rsid w:val="003A2926"/>
    <w:rsid w:val="003A350C"/>
    <w:rsid w:val="003A4EBB"/>
    <w:rsid w:val="003A512F"/>
    <w:rsid w:val="003A5C69"/>
    <w:rsid w:val="003A6FC6"/>
    <w:rsid w:val="003A7BE1"/>
    <w:rsid w:val="003B0377"/>
    <w:rsid w:val="003B0689"/>
    <w:rsid w:val="003B2DA8"/>
    <w:rsid w:val="003B4456"/>
    <w:rsid w:val="003B4E17"/>
    <w:rsid w:val="003B563C"/>
    <w:rsid w:val="003B6126"/>
    <w:rsid w:val="003B618B"/>
    <w:rsid w:val="003B7AD1"/>
    <w:rsid w:val="003C1FE6"/>
    <w:rsid w:val="003C230F"/>
    <w:rsid w:val="003C2A94"/>
    <w:rsid w:val="003C2F9A"/>
    <w:rsid w:val="003C32ED"/>
    <w:rsid w:val="003C40E4"/>
    <w:rsid w:val="003C48DD"/>
    <w:rsid w:val="003C5133"/>
    <w:rsid w:val="003C6D06"/>
    <w:rsid w:val="003D1AFB"/>
    <w:rsid w:val="003D3E05"/>
    <w:rsid w:val="003D3F60"/>
    <w:rsid w:val="003D56EF"/>
    <w:rsid w:val="003D596E"/>
    <w:rsid w:val="003D6187"/>
    <w:rsid w:val="003E034D"/>
    <w:rsid w:val="003E03AB"/>
    <w:rsid w:val="003E1723"/>
    <w:rsid w:val="003E1BF0"/>
    <w:rsid w:val="003E27B0"/>
    <w:rsid w:val="003E4F3D"/>
    <w:rsid w:val="003E7368"/>
    <w:rsid w:val="003E7BE2"/>
    <w:rsid w:val="003F01D6"/>
    <w:rsid w:val="003F31B7"/>
    <w:rsid w:val="003F4482"/>
    <w:rsid w:val="003F4CE9"/>
    <w:rsid w:val="003F6450"/>
    <w:rsid w:val="00401EAC"/>
    <w:rsid w:val="00402D4B"/>
    <w:rsid w:val="00404CB3"/>
    <w:rsid w:val="00407C4A"/>
    <w:rsid w:val="00410036"/>
    <w:rsid w:val="0041047F"/>
    <w:rsid w:val="00410C53"/>
    <w:rsid w:val="00411662"/>
    <w:rsid w:val="00412EC9"/>
    <w:rsid w:val="00412F82"/>
    <w:rsid w:val="004131CE"/>
    <w:rsid w:val="00413D18"/>
    <w:rsid w:val="00415745"/>
    <w:rsid w:val="00422A4D"/>
    <w:rsid w:val="004246AE"/>
    <w:rsid w:val="00432683"/>
    <w:rsid w:val="00432FC8"/>
    <w:rsid w:val="004346E7"/>
    <w:rsid w:val="00434E77"/>
    <w:rsid w:val="0043523C"/>
    <w:rsid w:val="00441290"/>
    <w:rsid w:val="00442421"/>
    <w:rsid w:val="004441D3"/>
    <w:rsid w:val="00444B75"/>
    <w:rsid w:val="00445CAD"/>
    <w:rsid w:val="0044756B"/>
    <w:rsid w:val="00453076"/>
    <w:rsid w:val="004531B6"/>
    <w:rsid w:val="00454038"/>
    <w:rsid w:val="00455F6A"/>
    <w:rsid w:val="0045783B"/>
    <w:rsid w:val="00463A7B"/>
    <w:rsid w:val="004704BD"/>
    <w:rsid w:val="00470B3B"/>
    <w:rsid w:val="0047319A"/>
    <w:rsid w:val="00474A63"/>
    <w:rsid w:val="004758FA"/>
    <w:rsid w:val="00477EC8"/>
    <w:rsid w:val="004811ED"/>
    <w:rsid w:val="00482CC1"/>
    <w:rsid w:val="0048341F"/>
    <w:rsid w:val="00484558"/>
    <w:rsid w:val="0048592B"/>
    <w:rsid w:val="00490EF0"/>
    <w:rsid w:val="00492F9B"/>
    <w:rsid w:val="00494A1B"/>
    <w:rsid w:val="00497AFB"/>
    <w:rsid w:val="004A1B20"/>
    <w:rsid w:val="004A37E5"/>
    <w:rsid w:val="004A48F3"/>
    <w:rsid w:val="004A4A3B"/>
    <w:rsid w:val="004A575D"/>
    <w:rsid w:val="004A5F55"/>
    <w:rsid w:val="004A6F48"/>
    <w:rsid w:val="004B04CE"/>
    <w:rsid w:val="004B14F3"/>
    <w:rsid w:val="004B4DE9"/>
    <w:rsid w:val="004B5928"/>
    <w:rsid w:val="004B6E06"/>
    <w:rsid w:val="004C1568"/>
    <w:rsid w:val="004C2564"/>
    <w:rsid w:val="004C262C"/>
    <w:rsid w:val="004C5238"/>
    <w:rsid w:val="004C6275"/>
    <w:rsid w:val="004C6A18"/>
    <w:rsid w:val="004C7E26"/>
    <w:rsid w:val="004D1056"/>
    <w:rsid w:val="004D11C0"/>
    <w:rsid w:val="004D2828"/>
    <w:rsid w:val="004D2E21"/>
    <w:rsid w:val="004D3983"/>
    <w:rsid w:val="004D4CCB"/>
    <w:rsid w:val="004D7F1E"/>
    <w:rsid w:val="004E22C3"/>
    <w:rsid w:val="004E2E21"/>
    <w:rsid w:val="004E4518"/>
    <w:rsid w:val="004E451D"/>
    <w:rsid w:val="004E69F5"/>
    <w:rsid w:val="004E6DEF"/>
    <w:rsid w:val="004E77DD"/>
    <w:rsid w:val="004F2157"/>
    <w:rsid w:val="004F45F2"/>
    <w:rsid w:val="004F4871"/>
    <w:rsid w:val="004F5043"/>
    <w:rsid w:val="004F5377"/>
    <w:rsid w:val="004F5536"/>
    <w:rsid w:val="004F5E06"/>
    <w:rsid w:val="00500214"/>
    <w:rsid w:val="00500886"/>
    <w:rsid w:val="00500F08"/>
    <w:rsid w:val="00501E44"/>
    <w:rsid w:val="00501EC0"/>
    <w:rsid w:val="00503D7A"/>
    <w:rsid w:val="00507DD6"/>
    <w:rsid w:val="00511810"/>
    <w:rsid w:val="00511CB4"/>
    <w:rsid w:val="0051327A"/>
    <w:rsid w:val="00525869"/>
    <w:rsid w:val="00525911"/>
    <w:rsid w:val="00525B2D"/>
    <w:rsid w:val="00526E9D"/>
    <w:rsid w:val="00527465"/>
    <w:rsid w:val="00530487"/>
    <w:rsid w:val="00531AF5"/>
    <w:rsid w:val="005333F4"/>
    <w:rsid w:val="00533B6F"/>
    <w:rsid w:val="00533EE4"/>
    <w:rsid w:val="00535D5E"/>
    <w:rsid w:val="005378E5"/>
    <w:rsid w:val="00537B83"/>
    <w:rsid w:val="00541BB2"/>
    <w:rsid w:val="00543CEE"/>
    <w:rsid w:val="0054472B"/>
    <w:rsid w:val="00545629"/>
    <w:rsid w:val="00545A68"/>
    <w:rsid w:val="00545E4F"/>
    <w:rsid w:val="00546913"/>
    <w:rsid w:val="00546FCF"/>
    <w:rsid w:val="00547319"/>
    <w:rsid w:val="0054753B"/>
    <w:rsid w:val="005500F5"/>
    <w:rsid w:val="0055103C"/>
    <w:rsid w:val="00551685"/>
    <w:rsid w:val="0055357E"/>
    <w:rsid w:val="00555A2E"/>
    <w:rsid w:val="00556028"/>
    <w:rsid w:val="0055755A"/>
    <w:rsid w:val="00557CD8"/>
    <w:rsid w:val="00557D64"/>
    <w:rsid w:val="00560472"/>
    <w:rsid w:val="005627FA"/>
    <w:rsid w:val="00562972"/>
    <w:rsid w:val="00562983"/>
    <w:rsid w:val="0056520F"/>
    <w:rsid w:val="005661F1"/>
    <w:rsid w:val="00566921"/>
    <w:rsid w:val="00572964"/>
    <w:rsid w:val="00572CD9"/>
    <w:rsid w:val="0057366D"/>
    <w:rsid w:val="00573D98"/>
    <w:rsid w:val="00576202"/>
    <w:rsid w:val="00576E19"/>
    <w:rsid w:val="00581869"/>
    <w:rsid w:val="00582B11"/>
    <w:rsid w:val="005847F8"/>
    <w:rsid w:val="00584D7D"/>
    <w:rsid w:val="00592505"/>
    <w:rsid w:val="00593CB2"/>
    <w:rsid w:val="0059514E"/>
    <w:rsid w:val="005958D1"/>
    <w:rsid w:val="005A0833"/>
    <w:rsid w:val="005A2046"/>
    <w:rsid w:val="005A4D53"/>
    <w:rsid w:val="005A6739"/>
    <w:rsid w:val="005A6ECF"/>
    <w:rsid w:val="005B2E9A"/>
    <w:rsid w:val="005B737D"/>
    <w:rsid w:val="005C0D50"/>
    <w:rsid w:val="005C24AB"/>
    <w:rsid w:val="005C3079"/>
    <w:rsid w:val="005C5117"/>
    <w:rsid w:val="005C51DC"/>
    <w:rsid w:val="005C53D2"/>
    <w:rsid w:val="005C5465"/>
    <w:rsid w:val="005C563E"/>
    <w:rsid w:val="005C7128"/>
    <w:rsid w:val="005D015A"/>
    <w:rsid w:val="005D0619"/>
    <w:rsid w:val="005D084D"/>
    <w:rsid w:val="005D0F0C"/>
    <w:rsid w:val="005D3563"/>
    <w:rsid w:val="005D59E9"/>
    <w:rsid w:val="005D5C2D"/>
    <w:rsid w:val="005D5E03"/>
    <w:rsid w:val="005D6CCA"/>
    <w:rsid w:val="005D7ADC"/>
    <w:rsid w:val="005E0548"/>
    <w:rsid w:val="005E2C17"/>
    <w:rsid w:val="005E4E3D"/>
    <w:rsid w:val="005E6A56"/>
    <w:rsid w:val="005E727C"/>
    <w:rsid w:val="005E74B3"/>
    <w:rsid w:val="005E7BBD"/>
    <w:rsid w:val="005F4AE8"/>
    <w:rsid w:val="005F6F7F"/>
    <w:rsid w:val="00601115"/>
    <w:rsid w:val="00601118"/>
    <w:rsid w:val="00601423"/>
    <w:rsid w:val="0060271A"/>
    <w:rsid w:val="006041B9"/>
    <w:rsid w:val="00604F65"/>
    <w:rsid w:val="00605C61"/>
    <w:rsid w:val="00605D9C"/>
    <w:rsid w:val="0060754D"/>
    <w:rsid w:val="00610308"/>
    <w:rsid w:val="006109E6"/>
    <w:rsid w:val="00612724"/>
    <w:rsid w:val="00612DC4"/>
    <w:rsid w:val="006136D8"/>
    <w:rsid w:val="006201C8"/>
    <w:rsid w:val="00621062"/>
    <w:rsid w:val="00627968"/>
    <w:rsid w:val="0063023F"/>
    <w:rsid w:val="00630349"/>
    <w:rsid w:val="006326A5"/>
    <w:rsid w:val="0063287E"/>
    <w:rsid w:val="00633054"/>
    <w:rsid w:val="00633277"/>
    <w:rsid w:val="0063377F"/>
    <w:rsid w:val="0063493A"/>
    <w:rsid w:val="00634E6E"/>
    <w:rsid w:val="0063566E"/>
    <w:rsid w:val="006411AB"/>
    <w:rsid w:val="00642CCA"/>
    <w:rsid w:val="0064304C"/>
    <w:rsid w:val="006441D2"/>
    <w:rsid w:val="006453AD"/>
    <w:rsid w:val="006458AF"/>
    <w:rsid w:val="006469BB"/>
    <w:rsid w:val="006506A9"/>
    <w:rsid w:val="00651668"/>
    <w:rsid w:val="00652DF8"/>
    <w:rsid w:val="00654344"/>
    <w:rsid w:val="00655F5A"/>
    <w:rsid w:val="0065632C"/>
    <w:rsid w:val="006570F6"/>
    <w:rsid w:val="0065731C"/>
    <w:rsid w:val="006577E8"/>
    <w:rsid w:val="0065790F"/>
    <w:rsid w:val="00657B6E"/>
    <w:rsid w:val="00661783"/>
    <w:rsid w:val="006627ED"/>
    <w:rsid w:val="00662920"/>
    <w:rsid w:val="006632DB"/>
    <w:rsid w:val="00664B3D"/>
    <w:rsid w:val="006669B5"/>
    <w:rsid w:val="00666C47"/>
    <w:rsid w:val="00667D5F"/>
    <w:rsid w:val="00672C19"/>
    <w:rsid w:val="0067485D"/>
    <w:rsid w:val="00676417"/>
    <w:rsid w:val="00677114"/>
    <w:rsid w:val="00677445"/>
    <w:rsid w:val="0068026A"/>
    <w:rsid w:val="00680668"/>
    <w:rsid w:val="00681577"/>
    <w:rsid w:val="006816BC"/>
    <w:rsid w:val="0068331C"/>
    <w:rsid w:val="0068334D"/>
    <w:rsid w:val="00684240"/>
    <w:rsid w:val="0068700D"/>
    <w:rsid w:val="006900FE"/>
    <w:rsid w:val="0069049F"/>
    <w:rsid w:val="00690E9B"/>
    <w:rsid w:val="0069114D"/>
    <w:rsid w:val="006939D7"/>
    <w:rsid w:val="00693D0F"/>
    <w:rsid w:val="006945DA"/>
    <w:rsid w:val="006959CB"/>
    <w:rsid w:val="00696252"/>
    <w:rsid w:val="00696CE2"/>
    <w:rsid w:val="006974AE"/>
    <w:rsid w:val="00697F89"/>
    <w:rsid w:val="006A5364"/>
    <w:rsid w:val="006A5F59"/>
    <w:rsid w:val="006A76D1"/>
    <w:rsid w:val="006B1707"/>
    <w:rsid w:val="006B302D"/>
    <w:rsid w:val="006B36D7"/>
    <w:rsid w:val="006B3D69"/>
    <w:rsid w:val="006B427F"/>
    <w:rsid w:val="006B540F"/>
    <w:rsid w:val="006B69E1"/>
    <w:rsid w:val="006B7896"/>
    <w:rsid w:val="006C06F7"/>
    <w:rsid w:val="006C1577"/>
    <w:rsid w:val="006C5D61"/>
    <w:rsid w:val="006C69B3"/>
    <w:rsid w:val="006D24F6"/>
    <w:rsid w:val="006D27A5"/>
    <w:rsid w:val="006D364F"/>
    <w:rsid w:val="006D4D70"/>
    <w:rsid w:val="006D68E1"/>
    <w:rsid w:val="006D6C2B"/>
    <w:rsid w:val="006D706F"/>
    <w:rsid w:val="006D7B5A"/>
    <w:rsid w:val="006E0398"/>
    <w:rsid w:val="006E0BAC"/>
    <w:rsid w:val="006E0D66"/>
    <w:rsid w:val="006E0E23"/>
    <w:rsid w:val="006E0F60"/>
    <w:rsid w:val="006E1257"/>
    <w:rsid w:val="006E3A20"/>
    <w:rsid w:val="006E68DA"/>
    <w:rsid w:val="006E776A"/>
    <w:rsid w:val="006F1F97"/>
    <w:rsid w:val="006F3441"/>
    <w:rsid w:val="006F51E9"/>
    <w:rsid w:val="006F6E09"/>
    <w:rsid w:val="006F6E24"/>
    <w:rsid w:val="006F78BE"/>
    <w:rsid w:val="006F7C48"/>
    <w:rsid w:val="0070358B"/>
    <w:rsid w:val="00703E5D"/>
    <w:rsid w:val="00704FFD"/>
    <w:rsid w:val="00707836"/>
    <w:rsid w:val="007109C4"/>
    <w:rsid w:val="0071271D"/>
    <w:rsid w:val="00713715"/>
    <w:rsid w:val="0071414F"/>
    <w:rsid w:val="00715CB8"/>
    <w:rsid w:val="00720024"/>
    <w:rsid w:val="007200EE"/>
    <w:rsid w:val="007215E7"/>
    <w:rsid w:val="0072376A"/>
    <w:rsid w:val="007246C2"/>
    <w:rsid w:val="00725716"/>
    <w:rsid w:val="00731520"/>
    <w:rsid w:val="00733E82"/>
    <w:rsid w:val="00736265"/>
    <w:rsid w:val="0073629F"/>
    <w:rsid w:val="00737268"/>
    <w:rsid w:val="0074089E"/>
    <w:rsid w:val="00740B3F"/>
    <w:rsid w:val="00743296"/>
    <w:rsid w:val="007461F4"/>
    <w:rsid w:val="007521FE"/>
    <w:rsid w:val="0075245C"/>
    <w:rsid w:val="00753E0E"/>
    <w:rsid w:val="0075425D"/>
    <w:rsid w:val="00754461"/>
    <w:rsid w:val="00755E8B"/>
    <w:rsid w:val="00756825"/>
    <w:rsid w:val="007572E7"/>
    <w:rsid w:val="00757328"/>
    <w:rsid w:val="007617D1"/>
    <w:rsid w:val="00761A1A"/>
    <w:rsid w:val="0076243B"/>
    <w:rsid w:val="00762A3C"/>
    <w:rsid w:val="00762CA7"/>
    <w:rsid w:val="00763CFD"/>
    <w:rsid w:val="00765867"/>
    <w:rsid w:val="00766B14"/>
    <w:rsid w:val="00767769"/>
    <w:rsid w:val="007722FB"/>
    <w:rsid w:val="0077236D"/>
    <w:rsid w:val="00772848"/>
    <w:rsid w:val="0077303F"/>
    <w:rsid w:val="00774396"/>
    <w:rsid w:val="00775DF6"/>
    <w:rsid w:val="007765D2"/>
    <w:rsid w:val="007804CA"/>
    <w:rsid w:val="00782094"/>
    <w:rsid w:val="00784BDF"/>
    <w:rsid w:val="007867E6"/>
    <w:rsid w:val="00786DFA"/>
    <w:rsid w:val="007875EC"/>
    <w:rsid w:val="00790D8C"/>
    <w:rsid w:val="007934B9"/>
    <w:rsid w:val="00794671"/>
    <w:rsid w:val="00794A3C"/>
    <w:rsid w:val="007A018F"/>
    <w:rsid w:val="007A1952"/>
    <w:rsid w:val="007A2CAD"/>
    <w:rsid w:val="007A3AAD"/>
    <w:rsid w:val="007A5CB4"/>
    <w:rsid w:val="007B0B0A"/>
    <w:rsid w:val="007B4DEB"/>
    <w:rsid w:val="007B74CB"/>
    <w:rsid w:val="007B7A01"/>
    <w:rsid w:val="007C01C9"/>
    <w:rsid w:val="007C08D2"/>
    <w:rsid w:val="007C0A45"/>
    <w:rsid w:val="007C24E8"/>
    <w:rsid w:val="007C5394"/>
    <w:rsid w:val="007C63AE"/>
    <w:rsid w:val="007D176C"/>
    <w:rsid w:val="007D1BF6"/>
    <w:rsid w:val="007D2C6C"/>
    <w:rsid w:val="007D424F"/>
    <w:rsid w:val="007D544A"/>
    <w:rsid w:val="007D5DA6"/>
    <w:rsid w:val="007E0BD5"/>
    <w:rsid w:val="007E0E25"/>
    <w:rsid w:val="007E0F98"/>
    <w:rsid w:val="007E19C5"/>
    <w:rsid w:val="007E33CC"/>
    <w:rsid w:val="007E3E34"/>
    <w:rsid w:val="007E4204"/>
    <w:rsid w:val="007E489E"/>
    <w:rsid w:val="007E778A"/>
    <w:rsid w:val="007F013E"/>
    <w:rsid w:val="007F07DE"/>
    <w:rsid w:val="007F09B5"/>
    <w:rsid w:val="007F46DD"/>
    <w:rsid w:val="007F4C75"/>
    <w:rsid w:val="007F58D4"/>
    <w:rsid w:val="007F78A9"/>
    <w:rsid w:val="007F7B8D"/>
    <w:rsid w:val="00801A79"/>
    <w:rsid w:val="00801C21"/>
    <w:rsid w:val="00802544"/>
    <w:rsid w:val="00802E88"/>
    <w:rsid w:val="008040AF"/>
    <w:rsid w:val="00805A29"/>
    <w:rsid w:val="008065B4"/>
    <w:rsid w:val="008066AB"/>
    <w:rsid w:val="00806AF2"/>
    <w:rsid w:val="00810830"/>
    <w:rsid w:val="00811529"/>
    <w:rsid w:val="00813D4B"/>
    <w:rsid w:val="008147D0"/>
    <w:rsid w:val="008161CC"/>
    <w:rsid w:val="00816484"/>
    <w:rsid w:val="00823810"/>
    <w:rsid w:val="00825DC0"/>
    <w:rsid w:val="008263B5"/>
    <w:rsid w:val="00826BDE"/>
    <w:rsid w:val="00830567"/>
    <w:rsid w:val="0083135A"/>
    <w:rsid w:val="00831362"/>
    <w:rsid w:val="0083596C"/>
    <w:rsid w:val="00837018"/>
    <w:rsid w:val="008414F5"/>
    <w:rsid w:val="00841E13"/>
    <w:rsid w:val="008426EF"/>
    <w:rsid w:val="00843EE5"/>
    <w:rsid w:val="00844004"/>
    <w:rsid w:val="00844C0D"/>
    <w:rsid w:val="00846091"/>
    <w:rsid w:val="0085045C"/>
    <w:rsid w:val="00852020"/>
    <w:rsid w:val="00854552"/>
    <w:rsid w:val="00854FA6"/>
    <w:rsid w:val="00855CBB"/>
    <w:rsid w:val="00855D3D"/>
    <w:rsid w:val="008567D3"/>
    <w:rsid w:val="00860540"/>
    <w:rsid w:val="0086407A"/>
    <w:rsid w:val="0086483C"/>
    <w:rsid w:val="0086714E"/>
    <w:rsid w:val="0086736A"/>
    <w:rsid w:val="00867406"/>
    <w:rsid w:val="008736F1"/>
    <w:rsid w:val="00874BA4"/>
    <w:rsid w:val="008760FE"/>
    <w:rsid w:val="00876D1A"/>
    <w:rsid w:val="00876D78"/>
    <w:rsid w:val="00877D00"/>
    <w:rsid w:val="0088000A"/>
    <w:rsid w:val="00881419"/>
    <w:rsid w:val="00881CE4"/>
    <w:rsid w:val="00882191"/>
    <w:rsid w:val="0088262D"/>
    <w:rsid w:val="008835F9"/>
    <w:rsid w:val="00883BCF"/>
    <w:rsid w:val="008859B7"/>
    <w:rsid w:val="00885E62"/>
    <w:rsid w:val="00887215"/>
    <w:rsid w:val="008906F9"/>
    <w:rsid w:val="00890F2B"/>
    <w:rsid w:val="00893381"/>
    <w:rsid w:val="00894C52"/>
    <w:rsid w:val="00895F73"/>
    <w:rsid w:val="00896D20"/>
    <w:rsid w:val="00896F96"/>
    <w:rsid w:val="0089711E"/>
    <w:rsid w:val="008A1956"/>
    <w:rsid w:val="008A1A41"/>
    <w:rsid w:val="008A2D5D"/>
    <w:rsid w:val="008A3159"/>
    <w:rsid w:val="008A32FC"/>
    <w:rsid w:val="008A71E1"/>
    <w:rsid w:val="008B4D0A"/>
    <w:rsid w:val="008B7BA7"/>
    <w:rsid w:val="008B7F2A"/>
    <w:rsid w:val="008C069C"/>
    <w:rsid w:val="008C1513"/>
    <w:rsid w:val="008C22FF"/>
    <w:rsid w:val="008C264B"/>
    <w:rsid w:val="008C2C03"/>
    <w:rsid w:val="008C332F"/>
    <w:rsid w:val="008D16BB"/>
    <w:rsid w:val="008D732E"/>
    <w:rsid w:val="008E14B6"/>
    <w:rsid w:val="008E43CD"/>
    <w:rsid w:val="008E5B40"/>
    <w:rsid w:val="008E66AB"/>
    <w:rsid w:val="008E6D38"/>
    <w:rsid w:val="008F1E6D"/>
    <w:rsid w:val="008F2680"/>
    <w:rsid w:val="008F2D09"/>
    <w:rsid w:val="008F6166"/>
    <w:rsid w:val="008F64BF"/>
    <w:rsid w:val="008F7B6E"/>
    <w:rsid w:val="00900743"/>
    <w:rsid w:val="009011C9"/>
    <w:rsid w:val="009036B9"/>
    <w:rsid w:val="00906289"/>
    <w:rsid w:val="009128B0"/>
    <w:rsid w:val="00912A44"/>
    <w:rsid w:val="009143C2"/>
    <w:rsid w:val="00915208"/>
    <w:rsid w:val="009152DF"/>
    <w:rsid w:val="009157B3"/>
    <w:rsid w:val="00915B72"/>
    <w:rsid w:val="00915EF5"/>
    <w:rsid w:val="00921074"/>
    <w:rsid w:val="00921EC2"/>
    <w:rsid w:val="00922A21"/>
    <w:rsid w:val="009232FA"/>
    <w:rsid w:val="00924519"/>
    <w:rsid w:val="00924A6F"/>
    <w:rsid w:val="0092520B"/>
    <w:rsid w:val="00925DD4"/>
    <w:rsid w:val="009265D3"/>
    <w:rsid w:val="00927274"/>
    <w:rsid w:val="00927BAF"/>
    <w:rsid w:val="00927E50"/>
    <w:rsid w:val="009310F2"/>
    <w:rsid w:val="0093258B"/>
    <w:rsid w:val="00934B8F"/>
    <w:rsid w:val="00935446"/>
    <w:rsid w:val="009355FD"/>
    <w:rsid w:val="00937E71"/>
    <w:rsid w:val="00940873"/>
    <w:rsid w:val="00941982"/>
    <w:rsid w:val="00941D35"/>
    <w:rsid w:val="00941F5B"/>
    <w:rsid w:val="00943101"/>
    <w:rsid w:val="0094349E"/>
    <w:rsid w:val="009436B2"/>
    <w:rsid w:val="00944506"/>
    <w:rsid w:val="00950504"/>
    <w:rsid w:val="009512C2"/>
    <w:rsid w:val="00953C42"/>
    <w:rsid w:val="00956DE8"/>
    <w:rsid w:val="009603A8"/>
    <w:rsid w:val="00960E05"/>
    <w:rsid w:val="00961D19"/>
    <w:rsid w:val="00962D0A"/>
    <w:rsid w:val="0096339F"/>
    <w:rsid w:val="00964033"/>
    <w:rsid w:val="00964800"/>
    <w:rsid w:val="00967E37"/>
    <w:rsid w:val="00970C18"/>
    <w:rsid w:val="0097278E"/>
    <w:rsid w:val="009735A8"/>
    <w:rsid w:val="00975248"/>
    <w:rsid w:val="00980182"/>
    <w:rsid w:val="0098170B"/>
    <w:rsid w:val="009819EA"/>
    <w:rsid w:val="009843A5"/>
    <w:rsid w:val="009844DF"/>
    <w:rsid w:val="00984A37"/>
    <w:rsid w:val="00985978"/>
    <w:rsid w:val="0098607E"/>
    <w:rsid w:val="00986370"/>
    <w:rsid w:val="009902C2"/>
    <w:rsid w:val="00990621"/>
    <w:rsid w:val="0099122C"/>
    <w:rsid w:val="009925C3"/>
    <w:rsid w:val="00994C77"/>
    <w:rsid w:val="009976D4"/>
    <w:rsid w:val="009A17EB"/>
    <w:rsid w:val="009A33DC"/>
    <w:rsid w:val="009A3408"/>
    <w:rsid w:val="009A34A1"/>
    <w:rsid w:val="009A35D3"/>
    <w:rsid w:val="009A652E"/>
    <w:rsid w:val="009A7B6C"/>
    <w:rsid w:val="009B3D8E"/>
    <w:rsid w:val="009B463A"/>
    <w:rsid w:val="009B4983"/>
    <w:rsid w:val="009B5F02"/>
    <w:rsid w:val="009B6B28"/>
    <w:rsid w:val="009C2636"/>
    <w:rsid w:val="009C306D"/>
    <w:rsid w:val="009C345A"/>
    <w:rsid w:val="009C3E95"/>
    <w:rsid w:val="009C4677"/>
    <w:rsid w:val="009C517D"/>
    <w:rsid w:val="009D14C2"/>
    <w:rsid w:val="009D165C"/>
    <w:rsid w:val="009D3D13"/>
    <w:rsid w:val="009D4794"/>
    <w:rsid w:val="009D49CB"/>
    <w:rsid w:val="009D4EF6"/>
    <w:rsid w:val="009D55E1"/>
    <w:rsid w:val="009D5697"/>
    <w:rsid w:val="009D61D3"/>
    <w:rsid w:val="009E19C6"/>
    <w:rsid w:val="009E3A3D"/>
    <w:rsid w:val="009E48E3"/>
    <w:rsid w:val="009E545B"/>
    <w:rsid w:val="009E7EE0"/>
    <w:rsid w:val="009F209B"/>
    <w:rsid w:val="009F2F2F"/>
    <w:rsid w:val="009F3FBD"/>
    <w:rsid w:val="009F4002"/>
    <w:rsid w:val="009F5A78"/>
    <w:rsid w:val="009F6125"/>
    <w:rsid w:val="009F6F92"/>
    <w:rsid w:val="009F78EE"/>
    <w:rsid w:val="00A001BD"/>
    <w:rsid w:val="00A01BE3"/>
    <w:rsid w:val="00A038C2"/>
    <w:rsid w:val="00A04AED"/>
    <w:rsid w:val="00A064AD"/>
    <w:rsid w:val="00A154F2"/>
    <w:rsid w:val="00A17060"/>
    <w:rsid w:val="00A17AFC"/>
    <w:rsid w:val="00A2133A"/>
    <w:rsid w:val="00A2181B"/>
    <w:rsid w:val="00A24598"/>
    <w:rsid w:val="00A2584A"/>
    <w:rsid w:val="00A26494"/>
    <w:rsid w:val="00A27970"/>
    <w:rsid w:val="00A331A4"/>
    <w:rsid w:val="00A370E3"/>
    <w:rsid w:val="00A37B61"/>
    <w:rsid w:val="00A401E9"/>
    <w:rsid w:val="00A40EF3"/>
    <w:rsid w:val="00A41ADC"/>
    <w:rsid w:val="00A4229B"/>
    <w:rsid w:val="00A42437"/>
    <w:rsid w:val="00A44F8B"/>
    <w:rsid w:val="00A521F1"/>
    <w:rsid w:val="00A538BF"/>
    <w:rsid w:val="00A553AC"/>
    <w:rsid w:val="00A55F8C"/>
    <w:rsid w:val="00A57F21"/>
    <w:rsid w:val="00A607C6"/>
    <w:rsid w:val="00A6133F"/>
    <w:rsid w:val="00A62D34"/>
    <w:rsid w:val="00A64526"/>
    <w:rsid w:val="00A655F9"/>
    <w:rsid w:val="00A65BD0"/>
    <w:rsid w:val="00A65DA9"/>
    <w:rsid w:val="00A65E51"/>
    <w:rsid w:val="00A7397D"/>
    <w:rsid w:val="00A75F0B"/>
    <w:rsid w:val="00A77F8D"/>
    <w:rsid w:val="00A8026E"/>
    <w:rsid w:val="00A80645"/>
    <w:rsid w:val="00A824EC"/>
    <w:rsid w:val="00A8259D"/>
    <w:rsid w:val="00A84212"/>
    <w:rsid w:val="00A84C99"/>
    <w:rsid w:val="00A851A2"/>
    <w:rsid w:val="00A859FE"/>
    <w:rsid w:val="00A85B1F"/>
    <w:rsid w:val="00A85F28"/>
    <w:rsid w:val="00A86B48"/>
    <w:rsid w:val="00A87728"/>
    <w:rsid w:val="00A87A84"/>
    <w:rsid w:val="00A901CD"/>
    <w:rsid w:val="00A9032C"/>
    <w:rsid w:val="00A92C2D"/>
    <w:rsid w:val="00A93744"/>
    <w:rsid w:val="00A93DE4"/>
    <w:rsid w:val="00A94B37"/>
    <w:rsid w:val="00A9572F"/>
    <w:rsid w:val="00A96E80"/>
    <w:rsid w:val="00A973A2"/>
    <w:rsid w:val="00A97FDE"/>
    <w:rsid w:val="00AA0E7C"/>
    <w:rsid w:val="00AA1434"/>
    <w:rsid w:val="00AA2803"/>
    <w:rsid w:val="00AA2B74"/>
    <w:rsid w:val="00AA2D88"/>
    <w:rsid w:val="00AA4B1A"/>
    <w:rsid w:val="00AA4CEC"/>
    <w:rsid w:val="00AA6A36"/>
    <w:rsid w:val="00AB0B7E"/>
    <w:rsid w:val="00AB1FF1"/>
    <w:rsid w:val="00AB213B"/>
    <w:rsid w:val="00AB2ECE"/>
    <w:rsid w:val="00AB3758"/>
    <w:rsid w:val="00AB38C1"/>
    <w:rsid w:val="00AB4782"/>
    <w:rsid w:val="00AB4C3C"/>
    <w:rsid w:val="00AB5FDA"/>
    <w:rsid w:val="00AB6134"/>
    <w:rsid w:val="00AC0C7B"/>
    <w:rsid w:val="00AC1405"/>
    <w:rsid w:val="00AC34CE"/>
    <w:rsid w:val="00AC381E"/>
    <w:rsid w:val="00AC3CA2"/>
    <w:rsid w:val="00AC4D3C"/>
    <w:rsid w:val="00AC52FA"/>
    <w:rsid w:val="00AC5D87"/>
    <w:rsid w:val="00AC6751"/>
    <w:rsid w:val="00AC7049"/>
    <w:rsid w:val="00AC7B6E"/>
    <w:rsid w:val="00AD077D"/>
    <w:rsid w:val="00AD10BA"/>
    <w:rsid w:val="00AD3B9A"/>
    <w:rsid w:val="00AD4C54"/>
    <w:rsid w:val="00AD5069"/>
    <w:rsid w:val="00AD658A"/>
    <w:rsid w:val="00AD7E23"/>
    <w:rsid w:val="00AE0DA4"/>
    <w:rsid w:val="00AE1F0A"/>
    <w:rsid w:val="00AE3A10"/>
    <w:rsid w:val="00AE3C3D"/>
    <w:rsid w:val="00AE4525"/>
    <w:rsid w:val="00AE4955"/>
    <w:rsid w:val="00AE4E8D"/>
    <w:rsid w:val="00AE51FC"/>
    <w:rsid w:val="00AE6A15"/>
    <w:rsid w:val="00AE7870"/>
    <w:rsid w:val="00AE7EDD"/>
    <w:rsid w:val="00AE7FB0"/>
    <w:rsid w:val="00AF33EC"/>
    <w:rsid w:val="00AF34B6"/>
    <w:rsid w:val="00AF4FC1"/>
    <w:rsid w:val="00AF586B"/>
    <w:rsid w:val="00AF5F6C"/>
    <w:rsid w:val="00AF727C"/>
    <w:rsid w:val="00B02375"/>
    <w:rsid w:val="00B03684"/>
    <w:rsid w:val="00B039AC"/>
    <w:rsid w:val="00B04E84"/>
    <w:rsid w:val="00B05697"/>
    <w:rsid w:val="00B07AE6"/>
    <w:rsid w:val="00B108F6"/>
    <w:rsid w:val="00B11768"/>
    <w:rsid w:val="00B12778"/>
    <w:rsid w:val="00B15096"/>
    <w:rsid w:val="00B1678D"/>
    <w:rsid w:val="00B17892"/>
    <w:rsid w:val="00B2315A"/>
    <w:rsid w:val="00B252ED"/>
    <w:rsid w:val="00B25911"/>
    <w:rsid w:val="00B25E10"/>
    <w:rsid w:val="00B26B37"/>
    <w:rsid w:val="00B26E60"/>
    <w:rsid w:val="00B27FA0"/>
    <w:rsid w:val="00B3035A"/>
    <w:rsid w:val="00B3186A"/>
    <w:rsid w:val="00B330AF"/>
    <w:rsid w:val="00B332F1"/>
    <w:rsid w:val="00B379ED"/>
    <w:rsid w:val="00B40DF1"/>
    <w:rsid w:val="00B44964"/>
    <w:rsid w:val="00B44B2A"/>
    <w:rsid w:val="00B45403"/>
    <w:rsid w:val="00B472EA"/>
    <w:rsid w:val="00B47940"/>
    <w:rsid w:val="00B52CF6"/>
    <w:rsid w:val="00B540EF"/>
    <w:rsid w:val="00B54199"/>
    <w:rsid w:val="00B563C6"/>
    <w:rsid w:val="00B56711"/>
    <w:rsid w:val="00B567B1"/>
    <w:rsid w:val="00B6013A"/>
    <w:rsid w:val="00B60671"/>
    <w:rsid w:val="00B6095B"/>
    <w:rsid w:val="00B61E9A"/>
    <w:rsid w:val="00B6432D"/>
    <w:rsid w:val="00B64EED"/>
    <w:rsid w:val="00B6744C"/>
    <w:rsid w:val="00B70076"/>
    <w:rsid w:val="00B70DE0"/>
    <w:rsid w:val="00B71150"/>
    <w:rsid w:val="00B71163"/>
    <w:rsid w:val="00B71B29"/>
    <w:rsid w:val="00B71F92"/>
    <w:rsid w:val="00B728E3"/>
    <w:rsid w:val="00B74A5A"/>
    <w:rsid w:val="00B75238"/>
    <w:rsid w:val="00B75538"/>
    <w:rsid w:val="00B80258"/>
    <w:rsid w:val="00B811EB"/>
    <w:rsid w:val="00B81FAE"/>
    <w:rsid w:val="00B82505"/>
    <w:rsid w:val="00B828F0"/>
    <w:rsid w:val="00B83998"/>
    <w:rsid w:val="00B83D97"/>
    <w:rsid w:val="00B8475F"/>
    <w:rsid w:val="00B90C95"/>
    <w:rsid w:val="00B91267"/>
    <w:rsid w:val="00B915C1"/>
    <w:rsid w:val="00B92B0B"/>
    <w:rsid w:val="00B9373C"/>
    <w:rsid w:val="00BA0AC9"/>
    <w:rsid w:val="00BA107F"/>
    <w:rsid w:val="00BA109D"/>
    <w:rsid w:val="00BA1C71"/>
    <w:rsid w:val="00BA39E2"/>
    <w:rsid w:val="00BA39F3"/>
    <w:rsid w:val="00BA4828"/>
    <w:rsid w:val="00BA66BE"/>
    <w:rsid w:val="00BA6D4A"/>
    <w:rsid w:val="00BA7A27"/>
    <w:rsid w:val="00BB0924"/>
    <w:rsid w:val="00BB0D5F"/>
    <w:rsid w:val="00BB14C1"/>
    <w:rsid w:val="00BB1F08"/>
    <w:rsid w:val="00BB33B9"/>
    <w:rsid w:val="00BB3A3D"/>
    <w:rsid w:val="00BB572F"/>
    <w:rsid w:val="00BC0CEC"/>
    <w:rsid w:val="00BC22D6"/>
    <w:rsid w:val="00BC2A88"/>
    <w:rsid w:val="00BC2D2F"/>
    <w:rsid w:val="00BC2D9D"/>
    <w:rsid w:val="00BC32C1"/>
    <w:rsid w:val="00BC45A1"/>
    <w:rsid w:val="00BD334D"/>
    <w:rsid w:val="00BD6797"/>
    <w:rsid w:val="00BE1E87"/>
    <w:rsid w:val="00BE24B3"/>
    <w:rsid w:val="00BE251F"/>
    <w:rsid w:val="00BE3A59"/>
    <w:rsid w:val="00BE549D"/>
    <w:rsid w:val="00BE584F"/>
    <w:rsid w:val="00BE7114"/>
    <w:rsid w:val="00BE7AF9"/>
    <w:rsid w:val="00BF3DBD"/>
    <w:rsid w:val="00BF547E"/>
    <w:rsid w:val="00BF552B"/>
    <w:rsid w:val="00BF72DA"/>
    <w:rsid w:val="00C011F2"/>
    <w:rsid w:val="00C015FB"/>
    <w:rsid w:val="00C05592"/>
    <w:rsid w:val="00C064E6"/>
    <w:rsid w:val="00C07AEC"/>
    <w:rsid w:val="00C12D77"/>
    <w:rsid w:val="00C14F25"/>
    <w:rsid w:val="00C152E9"/>
    <w:rsid w:val="00C15621"/>
    <w:rsid w:val="00C1600D"/>
    <w:rsid w:val="00C172C7"/>
    <w:rsid w:val="00C23558"/>
    <w:rsid w:val="00C23DD4"/>
    <w:rsid w:val="00C24BA1"/>
    <w:rsid w:val="00C25412"/>
    <w:rsid w:val="00C25530"/>
    <w:rsid w:val="00C2683F"/>
    <w:rsid w:val="00C272F6"/>
    <w:rsid w:val="00C27BC4"/>
    <w:rsid w:val="00C3018D"/>
    <w:rsid w:val="00C32E51"/>
    <w:rsid w:val="00C338A9"/>
    <w:rsid w:val="00C40275"/>
    <w:rsid w:val="00C403A8"/>
    <w:rsid w:val="00C40B8C"/>
    <w:rsid w:val="00C43331"/>
    <w:rsid w:val="00C43B44"/>
    <w:rsid w:val="00C43DF5"/>
    <w:rsid w:val="00C43E1B"/>
    <w:rsid w:val="00C45D37"/>
    <w:rsid w:val="00C46738"/>
    <w:rsid w:val="00C46BEB"/>
    <w:rsid w:val="00C50B22"/>
    <w:rsid w:val="00C5365D"/>
    <w:rsid w:val="00C53776"/>
    <w:rsid w:val="00C55499"/>
    <w:rsid w:val="00C563B8"/>
    <w:rsid w:val="00C5641F"/>
    <w:rsid w:val="00C56E2F"/>
    <w:rsid w:val="00C60BD1"/>
    <w:rsid w:val="00C60E8E"/>
    <w:rsid w:val="00C622F7"/>
    <w:rsid w:val="00C62E0A"/>
    <w:rsid w:val="00C635F8"/>
    <w:rsid w:val="00C63B3E"/>
    <w:rsid w:val="00C63D4C"/>
    <w:rsid w:val="00C63E25"/>
    <w:rsid w:val="00C65F70"/>
    <w:rsid w:val="00C704E8"/>
    <w:rsid w:val="00C70930"/>
    <w:rsid w:val="00C72827"/>
    <w:rsid w:val="00C73C99"/>
    <w:rsid w:val="00C75DA3"/>
    <w:rsid w:val="00C7639F"/>
    <w:rsid w:val="00C8222F"/>
    <w:rsid w:val="00C83579"/>
    <w:rsid w:val="00C8534F"/>
    <w:rsid w:val="00C9250E"/>
    <w:rsid w:val="00C92B6E"/>
    <w:rsid w:val="00C951DD"/>
    <w:rsid w:val="00C95E0D"/>
    <w:rsid w:val="00C97524"/>
    <w:rsid w:val="00CA08AC"/>
    <w:rsid w:val="00CA14C4"/>
    <w:rsid w:val="00CA27DC"/>
    <w:rsid w:val="00CA4B15"/>
    <w:rsid w:val="00CA4D61"/>
    <w:rsid w:val="00CA6822"/>
    <w:rsid w:val="00CA6E65"/>
    <w:rsid w:val="00CA76A7"/>
    <w:rsid w:val="00CB2BB1"/>
    <w:rsid w:val="00CB2DB2"/>
    <w:rsid w:val="00CB72A4"/>
    <w:rsid w:val="00CB79FB"/>
    <w:rsid w:val="00CC59D9"/>
    <w:rsid w:val="00CC6CA9"/>
    <w:rsid w:val="00CC72A8"/>
    <w:rsid w:val="00CC7CC4"/>
    <w:rsid w:val="00CD020A"/>
    <w:rsid w:val="00CD1237"/>
    <w:rsid w:val="00CD2C1C"/>
    <w:rsid w:val="00CD7087"/>
    <w:rsid w:val="00CE5D93"/>
    <w:rsid w:val="00CE6C2C"/>
    <w:rsid w:val="00CE7EA5"/>
    <w:rsid w:val="00CF0077"/>
    <w:rsid w:val="00CF07C8"/>
    <w:rsid w:val="00CF1F73"/>
    <w:rsid w:val="00CF339B"/>
    <w:rsid w:val="00CF3DEE"/>
    <w:rsid w:val="00CF415D"/>
    <w:rsid w:val="00CF4376"/>
    <w:rsid w:val="00CF4F8A"/>
    <w:rsid w:val="00CF7175"/>
    <w:rsid w:val="00CF7238"/>
    <w:rsid w:val="00CF7D63"/>
    <w:rsid w:val="00D00490"/>
    <w:rsid w:val="00D014CD"/>
    <w:rsid w:val="00D01B4F"/>
    <w:rsid w:val="00D035C1"/>
    <w:rsid w:val="00D10911"/>
    <w:rsid w:val="00D132A5"/>
    <w:rsid w:val="00D148F4"/>
    <w:rsid w:val="00D149DF"/>
    <w:rsid w:val="00D1635E"/>
    <w:rsid w:val="00D17C50"/>
    <w:rsid w:val="00D24CB5"/>
    <w:rsid w:val="00D24D32"/>
    <w:rsid w:val="00D30B9C"/>
    <w:rsid w:val="00D34B29"/>
    <w:rsid w:val="00D363D3"/>
    <w:rsid w:val="00D36674"/>
    <w:rsid w:val="00D36CBB"/>
    <w:rsid w:val="00D40261"/>
    <w:rsid w:val="00D41143"/>
    <w:rsid w:val="00D411C6"/>
    <w:rsid w:val="00D41741"/>
    <w:rsid w:val="00D44463"/>
    <w:rsid w:val="00D46686"/>
    <w:rsid w:val="00D47D96"/>
    <w:rsid w:val="00D50B98"/>
    <w:rsid w:val="00D50C79"/>
    <w:rsid w:val="00D513E1"/>
    <w:rsid w:val="00D51794"/>
    <w:rsid w:val="00D517B2"/>
    <w:rsid w:val="00D51A88"/>
    <w:rsid w:val="00D52297"/>
    <w:rsid w:val="00D5415A"/>
    <w:rsid w:val="00D54600"/>
    <w:rsid w:val="00D54D0E"/>
    <w:rsid w:val="00D54E3B"/>
    <w:rsid w:val="00D55262"/>
    <w:rsid w:val="00D55CC1"/>
    <w:rsid w:val="00D565F8"/>
    <w:rsid w:val="00D574C9"/>
    <w:rsid w:val="00D62B98"/>
    <w:rsid w:val="00D6417A"/>
    <w:rsid w:val="00D6553F"/>
    <w:rsid w:val="00D65563"/>
    <w:rsid w:val="00D65B0C"/>
    <w:rsid w:val="00D6676C"/>
    <w:rsid w:val="00D72A4E"/>
    <w:rsid w:val="00D74EB4"/>
    <w:rsid w:val="00D750E7"/>
    <w:rsid w:val="00D77B44"/>
    <w:rsid w:val="00D77C1A"/>
    <w:rsid w:val="00D8037E"/>
    <w:rsid w:val="00D81496"/>
    <w:rsid w:val="00D81D45"/>
    <w:rsid w:val="00D82227"/>
    <w:rsid w:val="00D833B4"/>
    <w:rsid w:val="00D83513"/>
    <w:rsid w:val="00D846A1"/>
    <w:rsid w:val="00D873B1"/>
    <w:rsid w:val="00D9023B"/>
    <w:rsid w:val="00D926EF"/>
    <w:rsid w:val="00D92884"/>
    <w:rsid w:val="00D9342D"/>
    <w:rsid w:val="00D94BBC"/>
    <w:rsid w:val="00D9662A"/>
    <w:rsid w:val="00D96F60"/>
    <w:rsid w:val="00DA02C2"/>
    <w:rsid w:val="00DA1A1A"/>
    <w:rsid w:val="00DA3512"/>
    <w:rsid w:val="00DA3D19"/>
    <w:rsid w:val="00DA4B48"/>
    <w:rsid w:val="00DA58FD"/>
    <w:rsid w:val="00DA6593"/>
    <w:rsid w:val="00DA6FE1"/>
    <w:rsid w:val="00DB0F9B"/>
    <w:rsid w:val="00DB31A0"/>
    <w:rsid w:val="00DB392A"/>
    <w:rsid w:val="00DB4398"/>
    <w:rsid w:val="00DB4E00"/>
    <w:rsid w:val="00DB66B3"/>
    <w:rsid w:val="00DB6703"/>
    <w:rsid w:val="00DB6E6B"/>
    <w:rsid w:val="00DB6EBE"/>
    <w:rsid w:val="00DC0F8F"/>
    <w:rsid w:val="00DC1920"/>
    <w:rsid w:val="00DC2275"/>
    <w:rsid w:val="00DC2496"/>
    <w:rsid w:val="00DC24C2"/>
    <w:rsid w:val="00DC3814"/>
    <w:rsid w:val="00DC5DE5"/>
    <w:rsid w:val="00DC6765"/>
    <w:rsid w:val="00DC7083"/>
    <w:rsid w:val="00DC7C5B"/>
    <w:rsid w:val="00DD08D5"/>
    <w:rsid w:val="00DD0C3D"/>
    <w:rsid w:val="00DD31CD"/>
    <w:rsid w:val="00DD3D5A"/>
    <w:rsid w:val="00DD5C68"/>
    <w:rsid w:val="00DD663B"/>
    <w:rsid w:val="00DD6E37"/>
    <w:rsid w:val="00DD752B"/>
    <w:rsid w:val="00DD7630"/>
    <w:rsid w:val="00DE10C8"/>
    <w:rsid w:val="00DE1DBE"/>
    <w:rsid w:val="00DE27BF"/>
    <w:rsid w:val="00DE34A4"/>
    <w:rsid w:val="00DE3C94"/>
    <w:rsid w:val="00DE4728"/>
    <w:rsid w:val="00DE63C0"/>
    <w:rsid w:val="00DF0000"/>
    <w:rsid w:val="00DF007F"/>
    <w:rsid w:val="00DF152D"/>
    <w:rsid w:val="00DF1AEB"/>
    <w:rsid w:val="00DF2561"/>
    <w:rsid w:val="00DF4410"/>
    <w:rsid w:val="00DF5FBF"/>
    <w:rsid w:val="00DF6018"/>
    <w:rsid w:val="00DF696C"/>
    <w:rsid w:val="00E00C10"/>
    <w:rsid w:val="00E018CF"/>
    <w:rsid w:val="00E02848"/>
    <w:rsid w:val="00E04129"/>
    <w:rsid w:val="00E05457"/>
    <w:rsid w:val="00E066F3"/>
    <w:rsid w:val="00E0699A"/>
    <w:rsid w:val="00E115D4"/>
    <w:rsid w:val="00E12F1F"/>
    <w:rsid w:val="00E13C96"/>
    <w:rsid w:val="00E1486D"/>
    <w:rsid w:val="00E1601B"/>
    <w:rsid w:val="00E211AB"/>
    <w:rsid w:val="00E22FA0"/>
    <w:rsid w:val="00E232E0"/>
    <w:rsid w:val="00E23503"/>
    <w:rsid w:val="00E25F42"/>
    <w:rsid w:val="00E27B88"/>
    <w:rsid w:val="00E315C8"/>
    <w:rsid w:val="00E31CDF"/>
    <w:rsid w:val="00E3411B"/>
    <w:rsid w:val="00E343CC"/>
    <w:rsid w:val="00E355F1"/>
    <w:rsid w:val="00E35E43"/>
    <w:rsid w:val="00E366A4"/>
    <w:rsid w:val="00E37788"/>
    <w:rsid w:val="00E41E0F"/>
    <w:rsid w:val="00E42249"/>
    <w:rsid w:val="00E42316"/>
    <w:rsid w:val="00E52FC3"/>
    <w:rsid w:val="00E53774"/>
    <w:rsid w:val="00E5496E"/>
    <w:rsid w:val="00E54E65"/>
    <w:rsid w:val="00E54E76"/>
    <w:rsid w:val="00E5535B"/>
    <w:rsid w:val="00E559D5"/>
    <w:rsid w:val="00E632E6"/>
    <w:rsid w:val="00E6335E"/>
    <w:rsid w:val="00E63E1D"/>
    <w:rsid w:val="00E6674E"/>
    <w:rsid w:val="00E705DF"/>
    <w:rsid w:val="00E70B3F"/>
    <w:rsid w:val="00E71B74"/>
    <w:rsid w:val="00E72D85"/>
    <w:rsid w:val="00E73D20"/>
    <w:rsid w:val="00E740C7"/>
    <w:rsid w:val="00E748E9"/>
    <w:rsid w:val="00E75432"/>
    <w:rsid w:val="00E75BF7"/>
    <w:rsid w:val="00E760C1"/>
    <w:rsid w:val="00E80B28"/>
    <w:rsid w:val="00E80CA7"/>
    <w:rsid w:val="00E81893"/>
    <w:rsid w:val="00E81ACE"/>
    <w:rsid w:val="00E82DDB"/>
    <w:rsid w:val="00E84A47"/>
    <w:rsid w:val="00E84DD2"/>
    <w:rsid w:val="00E87D87"/>
    <w:rsid w:val="00E87F2E"/>
    <w:rsid w:val="00E90C95"/>
    <w:rsid w:val="00E92326"/>
    <w:rsid w:val="00E92F03"/>
    <w:rsid w:val="00E93AFC"/>
    <w:rsid w:val="00E94B13"/>
    <w:rsid w:val="00E9550B"/>
    <w:rsid w:val="00E95B8F"/>
    <w:rsid w:val="00E96C41"/>
    <w:rsid w:val="00EA127E"/>
    <w:rsid w:val="00EA3733"/>
    <w:rsid w:val="00EA425B"/>
    <w:rsid w:val="00EA61B2"/>
    <w:rsid w:val="00EA72EE"/>
    <w:rsid w:val="00EB00BC"/>
    <w:rsid w:val="00EB0559"/>
    <w:rsid w:val="00EB0567"/>
    <w:rsid w:val="00EB13D9"/>
    <w:rsid w:val="00EB3414"/>
    <w:rsid w:val="00EB528C"/>
    <w:rsid w:val="00EB57E6"/>
    <w:rsid w:val="00EB5F5A"/>
    <w:rsid w:val="00EB7137"/>
    <w:rsid w:val="00EC0BBB"/>
    <w:rsid w:val="00EC2B77"/>
    <w:rsid w:val="00EC4EDE"/>
    <w:rsid w:val="00EC5A4B"/>
    <w:rsid w:val="00ED2D21"/>
    <w:rsid w:val="00ED30BE"/>
    <w:rsid w:val="00ED4766"/>
    <w:rsid w:val="00ED4A5D"/>
    <w:rsid w:val="00ED571D"/>
    <w:rsid w:val="00EE0A11"/>
    <w:rsid w:val="00EE139C"/>
    <w:rsid w:val="00EE18C7"/>
    <w:rsid w:val="00EE31C5"/>
    <w:rsid w:val="00EE4A5C"/>
    <w:rsid w:val="00EE5256"/>
    <w:rsid w:val="00EE674E"/>
    <w:rsid w:val="00EE71E7"/>
    <w:rsid w:val="00EF10F6"/>
    <w:rsid w:val="00EF1B73"/>
    <w:rsid w:val="00EF66A4"/>
    <w:rsid w:val="00EF66BB"/>
    <w:rsid w:val="00EF7A8B"/>
    <w:rsid w:val="00EF7CBA"/>
    <w:rsid w:val="00F001B9"/>
    <w:rsid w:val="00F00DCF"/>
    <w:rsid w:val="00F01AFD"/>
    <w:rsid w:val="00F01E1A"/>
    <w:rsid w:val="00F04CE2"/>
    <w:rsid w:val="00F103E9"/>
    <w:rsid w:val="00F10E18"/>
    <w:rsid w:val="00F129E0"/>
    <w:rsid w:val="00F14A7E"/>
    <w:rsid w:val="00F15311"/>
    <w:rsid w:val="00F154A3"/>
    <w:rsid w:val="00F174B5"/>
    <w:rsid w:val="00F205C3"/>
    <w:rsid w:val="00F20E17"/>
    <w:rsid w:val="00F2153B"/>
    <w:rsid w:val="00F22563"/>
    <w:rsid w:val="00F240C6"/>
    <w:rsid w:val="00F254F4"/>
    <w:rsid w:val="00F25EFD"/>
    <w:rsid w:val="00F273EB"/>
    <w:rsid w:val="00F30624"/>
    <w:rsid w:val="00F3289E"/>
    <w:rsid w:val="00F42937"/>
    <w:rsid w:val="00F432C5"/>
    <w:rsid w:val="00F43A3A"/>
    <w:rsid w:val="00F4437D"/>
    <w:rsid w:val="00F44FEA"/>
    <w:rsid w:val="00F47158"/>
    <w:rsid w:val="00F4795D"/>
    <w:rsid w:val="00F50D00"/>
    <w:rsid w:val="00F50E02"/>
    <w:rsid w:val="00F51932"/>
    <w:rsid w:val="00F52055"/>
    <w:rsid w:val="00F5334C"/>
    <w:rsid w:val="00F53D94"/>
    <w:rsid w:val="00F561B6"/>
    <w:rsid w:val="00F605F6"/>
    <w:rsid w:val="00F60D29"/>
    <w:rsid w:val="00F61169"/>
    <w:rsid w:val="00F61438"/>
    <w:rsid w:val="00F6390B"/>
    <w:rsid w:val="00F639B2"/>
    <w:rsid w:val="00F669CB"/>
    <w:rsid w:val="00F67A79"/>
    <w:rsid w:val="00F7201D"/>
    <w:rsid w:val="00F72062"/>
    <w:rsid w:val="00F72A47"/>
    <w:rsid w:val="00F73AA4"/>
    <w:rsid w:val="00F74048"/>
    <w:rsid w:val="00F7464A"/>
    <w:rsid w:val="00F74773"/>
    <w:rsid w:val="00F749B6"/>
    <w:rsid w:val="00F7548C"/>
    <w:rsid w:val="00F80936"/>
    <w:rsid w:val="00F81A6A"/>
    <w:rsid w:val="00F95388"/>
    <w:rsid w:val="00F96323"/>
    <w:rsid w:val="00FA0B7C"/>
    <w:rsid w:val="00FA15D9"/>
    <w:rsid w:val="00FA28BE"/>
    <w:rsid w:val="00FA28F2"/>
    <w:rsid w:val="00FA2B13"/>
    <w:rsid w:val="00FA3816"/>
    <w:rsid w:val="00FA3D44"/>
    <w:rsid w:val="00FA6F33"/>
    <w:rsid w:val="00FB0597"/>
    <w:rsid w:val="00FB0CC6"/>
    <w:rsid w:val="00FB0F54"/>
    <w:rsid w:val="00FB57EB"/>
    <w:rsid w:val="00FB6A18"/>
    <w:rsid w:val="00FC0B4B"/>
    <w:rsid w:val="00FC1ED7"/>
    <w:rsid w:val="00FC2B79"/>
    <w:rsid w:val="00FC56B2"/>
    <w:rsid w:val="00FC65C0"/>
    <w:rsid w:val="00FC7E01"/>
    <w:rsid w:val="00FD08B2"/>
    <w:rsid w:val="00FD1944"/>
    <w:rsid w:val="00FD1E15"/>
    <w:rsid w:val="00FD29BE"/>
    <w:rsid w:val="00FD3822"/>
    <w:rsid w:val="00FD54D9"/>
    <w:rsid w:val="00FE00F5"/>
    <w:rsid w:val="00FE04F3"/>
    <w:rsid w:val="00FE0F6B"/>
    <w:rsid w:val="00FE3045"/>
    <w:rsid w:val="00FE31A4"/>
    <w:rsid w:val="00FE46C2"/>
    <w:rsid w:val="00FE4780"/>
    <w:rsid w:val="00FE5297"/>
    <w:rsid w:val="00FE6A95"/>
    <w:rsid w:val="00FE7684"/>
    <w:rsid w:val="00FE796F"/>
    <w:rsid w:val="00FF1C40"/>
    <w:rsid w:val="00FF3F08"/>
    <w:rsid w:val="00FF4664"/>
    <w:rsid w:val="00FF59D5"/>
    <w:rsid w:val="00FF76B9"/>
    <w:rsid w:val="00FF7F00"/>
    <w:rsid w:val="0BC26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iPriority="39" w:semiHidden="0" w:name="toc 3"/>
    <w:lsdException w:qFormat="1" w:uiPriority="39" w:semiHidden="0" w:name="toc 4"/>
    <w:lsdException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qFormat="1" w:unhideWhenUsed="0" w:uiPriority="99" w:semiHidden="0" w:name="footnote text"/>
    <w:lsdException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semiHidden="0" w:name="table of figures"/>
    <w:lsdException w:uiPriority="99" w:name="envelope address"/>
    <w:lsdException w:uiPriority="99" w:name="envelope return"/>
    <w:lsdException w:unhideWhenUsed="0" w:uiPriority="99" w:semiHidden="0"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nhideWhenUsed="0" w:uiPriority="0" w:semiHidden="0" w:name="Table Simple 1"/>
    <w:lsdException w:uiPriority="99" w:name="Table Simple 2"/>
    <w:lsdException w:uiPriority="99" w:name="Table Simple 3"/>
    <w:lsdException w:unhideWhenUsed="0" w:uiPriority="0"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hd w:val="clear" w:color="auto" w:fill="FFFFFF"/>
      <w:spacing w:before="166" w:beforeLines="50" w:after="166" w:afterLines="50" w:line="360" w:lineRule="auto"/>
      <w:ind w:firstLine="560" w:firstLineChars="200"/>
      <w:jc w:val="both"/>
    </w:pPr>
    <w:rPr>
      <w:rFonts w:asciiTheme="minorHAnsi" w:hAnsiTheme="minorHAnsi" w:eastAsiaTheme="minorEastAsia" w:cstheme="minorHAnsi"/>
      <w:kern w:val="0"/>
      <w:sz w:val="28"/>
      <w:szCs w:val="28"/>
      <w:lang w:val="en-US" w:eastAsia="zh-CN" w:bidi="ar-SA"/>
    </w:rPr>
  </w:style>
  <w:style w:type="paragraph" w:styleId="2">
    <w:name w:val="heading 1"/>
    <w:next w:val="1"/>
    <w:link w:val="45"/>
    <w:qFormat/>
    <w:uiPriority w:val="0"/>
    <w:pPr>
      <w:keepNext/>
      <w:keepLines/>
      <w:numPr>
        <w:ilvl w:val="0"/>
        <w:numId w:val="1"/>
      </w:numPr>
      <w:spacing w:before="340" w:after="330" w:line="578" w:lineRule="auto"/>
      <w:outlineLvl w:val="0"/>
    </w:pPr>
    <w:rPr>
      <w:rFonts w:ascii="Times New Roman" w:hAnsi="Times New Roman" w:eastAsia="华文中宋" w:cs="Times New Roman"/>
      <w:b/>
      <w:bCs/>
      <w:kern w:val="44"/>
      <w:sz w:val="36"/>
      <w:szCs w:val="44"/>
      <w:lang w:val="en-US" w:eastAsia="zh-CN" w:bidi="ar-SA"/>
    </w:rPr>
  </w:style>
  <w:style w:type="paragraph" w:styleId="3">
    <w:name w:val="heading 2"/>
    <w:next w:val="1"/>
    <w:link w:val="46"/>
    <w:unhideWhenUsed/>
    <w:qFormat/>
    <w:uiPriority w:val="9"/>
    <w:pPr>
      <w:keepNext/>
      <w:keepLines/>
      <w:numPr>
        <w:ilvl w:val="1"/>
        <w:numId w:val="1"/>
      </w:numPr>
      <w:spacing w:before="260" w:after="260" w:line="416" w:lineRule="auto"/>
      <w:outlineLvl w:val="1"/>
    </w:pPr>
    <w:rPr>
      <w:rFonts w:ascii="Times New Roman" w:hAnsi="Times New Roman" w:eastAsia="华文中宋" w:cs="Times New Roman"/>
      <w:b/>
      <w:bCs/>
      <w:kern w:val="2"/>
      <w:sz w:val="32"/>
      <w:szCs w:val="32"/>
      <w:lang w:val="en-US" w:eastAsia="zh-CN" w:bidi="ar-SA"/>
    </w:rPr>
  </w:style>
  <w:style w:type="paragraph" w:styleId="4">
    <w:name w:val="heading 3"/>
    <w:basedOn w:val="2"/>
    <w:next w:val="1"/>
    <w:link w:val="50"/>
    <w:unhideWhenUsed/>
    <w:qFormat/>
    <w:uiPriority w:val="0"/>
    <w:pPr>
      <w:numPr>
        <w:ilvl w:val="2"/>
      </w:numPr>
      <w:spacing w:before="240" w:after="240" w:line="240" w:lineRule="auto"/>
      <w:ind w:left="1276"/>
      <w:outlineLvl w:val="2"/>
    </w:pPr>
    <w:rPr>
      <w:sz w:val="28"/>
    </w:rPr>
  </w:style>
  <w:style w:type="paragraph" w:styleId="5">
    <w:name w:val="heading 4"/>
    <w:basedOn w:val="1"/>
    <w:next w:val="1"/>
    <w:link w:val="64"/>
    <w:unhideWhenUsed/>
    <w:qFormat/>
    <w:uiPriority w:val="9"/>
    <w:pPr>
      <w:keepNext/>
      <w:keepLines/>
      <w:numPr>
        <w:ilvl w:val="3"/>
        <w:numId w:val="1"/>
      </w:numPr>
      <w:spacing w:line="376" w:lineRule="auto"/>
      <w:ind w:firstLine="0" w:firstLineChars="0"/>
      <w:outlineLvl w:val="3"/>
    </w:pPr>
    <w:rPr>
      <w:rFonts w:asciiTheme="majorHAnsi" w:hAnsiTheme="majorHAnsi" w:eastAsiaTheme="majorEastAsia" w:cstheme="majorBidi"/>
      <w:b/>
      <w:bCs/>
    </w:rPr>
  </w:style>
  <w:style w:type="paragraph" w:styleId="6">
    <w:name w:val="heading 5"/>
    <w:basedOn w:val="1"/>
    <w:next w:val="1"/>
    <w:link w:val="89"/>
    <w:unhideWhenUsed/>
    <w:qFormat/>
    <w:uiPriority w:val="9"/>
    <w:pPr>
      <w:keepNext/>
      <w:keepLines/>
      <w:numPr>
        <w:ilvl w:val="4"/>
        <w:numId w:val="1"/>
      </w:numPr>
      <w:spacing w:line="376" w:lineRule="auto"/>
      <w:ind w:firstLine="0" w:firstLineChars="0"/>
      <w:outlineLvl w:val="4"/>
    </w:pPr>
    <w:rPr>
      <w:b/>
      <w:bCs/>
    </w:rPr>
  </w:style>
  <w:style w:type="character" w:default="1" w:styleId="35">
    <w:name w:val="Default Paragraph Font"/>
    <w:semiHidden/>
    <w:unhideWhenUsed/>
    <w:uiPriority w:val="1"/>
  </w:style>
  <w:style w:type="table" w:default="1" w:styleId="30">
    <w:name w:val="Normal Table"/>
    <w:semiHidden/>
    <w:unhideWhenUsed/>
    <w:uiPriority w:val="99"/>
    <w:tblPr>
      <w:tblLayout w:type="fixed"/>
      <w:tblCellMar>
        <w:top w:w="0" w:type="dxa"/>
        <w:left w:w="108" w:type="dxa"/>
        <w:bottom w:w="0" w:type="dxa"/>
        <w:right w:w="108" w:type="dxa"/>
      </w:tblCellMar>
    </w:tblPr>
  </w:style>
  <w:style w:type="paragraph" w:styleId="7">
    <w:name w:val="toc 7"/>
    <w:basedOn w:val="1"/>
    <w:next w:val="1"/>
    <w:unhideWhenUsed/>
    <w:uiPriority w:val="39"/>
    <w:pPr>
      <w:spacing w:before="0" w:beforeLines="0" w:after="0" w:afterLines="0" w:line="240" w:lineRule="auto"/>
      <w:ind w:left="2520" w:leftChars="1200" w:firstLine="0" w:firstLineChars="0"/>
    </w:pPr>
    <w:rPr>
      <w:rFonts w:cstheme="minorBidi"/>
      <w:sz w:val="21"/>
      <w:szCs w:val="22"/>
    </w:rPr>
  </w:style>
  <w:style w:type="paragraph" w:styleId="8">
    <w:name w:val="caption"/>
    <w:basedOn w:val="1"/>
    <w:next w:val="1"/>
    <w:unhideWhenUsed/>
    <w:qFormat/>
    <w:uiPriority w:val="0"/>
    <w:rPr>
      <w:rFonts w:eastAsia="黑体" w:asciiTheme="majorHAnsi" w:hAnsiTheme="majorHAnsi" w:cstheme="majorBidi"/>
      <w:sz w:val="20"/>
      <w:szCs w:val="20"/>
    </w:rPr>
  </w:style>
  <w:style w:type="paragraph" w:styleId="9">
    <w:name w:val="Document Map"/>
    <w:basedOn w:val="1"/>
    <w:link w:val="82"/>
    <w:semiHidden/>
    <w:uiPriority w:val="0"/>
    <w:pPr>
      <w:shd w:val="clear" w:color="auto" w:fill="000080"/>
      <w:spacing w:before="0" w:beforeLines="0" w:after="0" w:afterLines="0" w:line="240" w:lineRule="auto"/>
      <w:ind w:firstLine="0" w:firstLineChars="0"/>
    </w:pPr>
    <w:rPr>
      <w:rFonts w:ascii="Times New Roman" w:hAnsi="Times New Roman" w:eastAsia="宋体" w:cs="Times New Roman"/>
      <w:sz w:val="21"/>
    </w:rPr>
  </w:style>
  <w:style w:type="paragraph" w:styleId="10">
    <w:name w:val="annotation text"/>
    <w:basedOn w:val="1"/>
    <w:link w:val="55"/>
    <w:uiPriority w:val="0"/>
    <w:pPr>
      <w:jc w:val="left"/>
    </w:pPr>
    <w:rPr>
      <w:rFonts w:eastAsia="宋体"/>
    </w:rPr>
  </w:style>
  <w:style w:type="paragraph" w:styleId="11">
    <w:name w:val="toc 5"/>
    <w:basedOn w:val="1"/>
    <w:next w:val="1"/>
    <w:unhideWhenUsed/>
    <w:uiPriority w:val="39"/>
    <w:pPr>
      <w:spacing w:before="0" w:beforeLines="0" w:after="0" w:afterLines="0" w:line="240" w:lineRule="auto"/>
      <w:ind w:left="1680" w:leftChars="800" w:firstLine="0" w:firstLineChars="0"/>
    </w:pPr>
    <w:rPr>
      <w:rFonts w:cstheme="minorBidi"/>
      <w:sz w:val="21"/>
      <w:szCs w:val="22"/>
    </w:rPr>
  </w:style>
  <w:style w:type="paragraph" w:styleId="12">
    <w:name w:val="toc 3"/>
    <w:basedOn w:val="1"/>
    <w:next w:val="1"/>
    <w:unhideWhenUsed/>
    <w:uiPriority w:val="39"/>
    <w:pPr>
      <w:ind w:left="840" w:leftChars="400"/>
    </w:pPr>
  </w:style>
  <w:style w:type="paragraph" w:styleId="13">
    <w:name w:val="toc 8"/>
    <w:basedOn w:val="1"/>
    <w:next w:val="1"/>
    <w:unhideWhenUsed/>
    <w:qFormat/>
    <w:uiPriority w:val="39"/>
    <w:pPr>
      <w:spacing w:before="0" w:beforeLines="0" w:after="0" w:afterLines="0" w:line="240" w:lineRule="auto"/>
      <w:ind w:left="2940" w:leftChars="1400" w:firstLine="0" w:firstLineChars="0"/>
    </w:pPr>
    <w:rPr>
      <w:rFonts w:cstheme="minorBidi"/>
      <w:sz w:val="21"/>
      <w:szCs w:val="22"/>
    </w:rPr>
  </w:style>
  <w:style w:type="paragraph" w:styleId="14">
    <w:name w:val="Date"/>
    <w:basedOn w:val="1"/>
    <w:next w:val="1"/>
    <w:link w:val="93"/>
    <w:semiHidden/>
    <w:unhideWhenUsed/>
    <w:qFormat/>
    <w:uiPriority w:val="99"/>
    <w:pPr>
      <w:widowControl w:val="0"/>
      <w:shd w:val="clear" w:color="auto" w:fill="auto"/>
      <w:spacing w:before="0" w:beforeLines="0" w:after="0" w:afterLines="0" w:line="240" w:lineRule="auto"/>
      <w:ind w:left="100" w:leftChars="2500" w:firstLine="0" w:firstLineChars="0"/>
    </w:pPr>
    <w:rPr>
      <w:rFonts w:cs="Times New Roman"/>
      <w:kern w:val="2"/>
      <w:sz w:val="21"/>
      <w:szCs w:val="22"/>
    </w:rPr>
  </w:style>
  <w:style w:type="paragraph" w:styleId="15">
    <w:name w:val="endnote text"/>
    <w:basedOn w:val="1"/>
    <w:link w:val="75"/>
    <w:semiHidden/>
    <w:unhideWhenUsed/>
    <w:uiPriority w:val="99"/>
    <w:pPr>
      <w:snapToGrid w:val="0"/>
      <w:jc w:val="left"/>
    </w:pPr>
  </w:style>
  <w:style w:type="paragraph" w:styleId="16">
    <w:name w:val="Balloon Text"/>
    <w:basedOn w:val="1"/>
    <w:link w:val="53"/>
    <w:qFormat/>
    <w:uiPriority w:val="0"/>
    <w:rPr>
      <w:rFonts w:eastAsia="宋体"/>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iPriority w:val="39"/>
    <w:pPr>
      <w:tabs>
        <w:tab w:val="right" w:leader="dot" w:pos="8296"/>
      </w:tabs>
      <w:spacing w:before="0" w:beforeLines="0" w:after="0" w:afterLines="0"/>
      <w:ind w:firstLine="0" w:firstLineChars="0"/>
    </w:pPr>
    <w:rPr>
      <w:rFonts w:ascii="Times New Roman" w:hAnsi="Times New Roman" w:eastAsia="宋体" w:cs="Times New Roman"/>
      <w:b/>
    </w:rPr>
  </w:style>
  <w:style w:type="paragraph" w:styleId="20">
    <w:name w:val="toc 4"/>
    <w:basedOn w:val="1"/>
    <w:next w:val="1"/>
    <w:unhideWhenUsed/>
    <w:qFormat/>
    <w:uiPriority w:val="39"/>
    <w:pPr>
      <w:spacing w:before="0" w:beforeLines="0" w:after="0" w:afterLines="0" w:line="240" w:lineRule="auto"/>
      <w:ind w:left="1260" w:leftChars="600" w:firstLine="0" w:firstLineChars="0"/>
    </w:pPr>
    <w:rPr>
      <w:rFonts w:cstheme="minorBidi"/>
      <w:sz w:val="21"/>
      <w:szCs w:val="22"/>
    </w:rPr>
  </w:style>
  <w:style w:type="paragraph" w:styleId="21">
    <w:name w:val="Subtitle"/>
    <w:basedOn w:val="1"/>
    <w:next w:val="1"/>
    <w:link w:val="85"/>
    <w:qFormat/>
    <w:uiPriority w:val="0"/>
    <w:pPr>
      <w:spacing w:before="240" w:beforeLines="0" w:after="60" w:afterLines="0" w:line="312" w:lineRule="auto"/>
      <w:ind w:firstLine="0" w:firstLineChars="0"/>
      <w:jc w:val="center"/>
      <w:outlineLvl w:val="2"/>
    </w:pPr>
    <w:rPr>
      <w:rFonts w:ascii="Cambria" w:hAnsi="Cambria" w:eastAsia="宋体" w:cs="Times New Roman"/>
      <w:b/>
      <w:bCs/>
      <w:kern w:val="28"/>
      <w:sz w:val="32"/>
      <w:szCs w:val="32"/>
    </w:rPr>
  </w:style>
  <w:style w:type="paragraph" w:styleId="22">
    <w:name w:val="footnote text"/>
    <w:basedOn w:val="1"/>
    <w:link w:val="54"/>
    <w:qFormat/>
    <w:uiPriority w:val="99"/>
    <w:pPr>
      <w:snapToGrid w:val="0"/>
      <w:jc w:val="left"/>
    </w:pPr>
    <w:rPr>
      <w:rFonts w:eastAsia="宋体"/>
      <w:sz w:val="18"/>
      <w:szCs w:val="18"/>
    </w:rPr>
  </w:style>
  <w:style w:type="paragraph" w:styleId="23">
    <w:name w:val="toc 6"/>
    <w:basedOn w:val="1"/>
    <w:next w:val="1"/>
    <w:unhideWhenUsed/>
    <w:qFormat/>
    <w:uiPriority w:val="39"/>
    <w:pPr>
      <w:spacing w:before="0" w:beforeLines="0" w:after="0" w:afterLines="0" w:line="240" w:lineRule="auto"/>
      <w:ind w:left="2100" w:leftChars="1000" w:firstLine="0" w:firstLineChars="0"/>
    </w:pPr>
    <w:rPr>
      <w:rFonts w:cstheme="minorBidi"/>
      <w:sz w:val="21"/>
      <w:szCs w:val="22"/>
    </w:rPr>
  </w:style>
  <w:style w:type="paragraph" w:styleId="24">
    <w:name w:val="table of figures"/>
    <w:basedOn w:val="1"/>
    <w:next w:val="1"/>
    <w:unhideWhenUsed/>
    <w:uiPriority w:val="99"/>
    <w:pPr>
      <w:ind w:left="200" w:leftChars="200" w:hanging="200" w:hangingChars="200"/>
    </w:pPr>
  </w:style>
  <w:style w:type="paragraph" w:styleId="25">
    <w:name w:val="toc 2"/>
    <w:basedOn w:val="1"/>
    <w:next w:val="1"/>
    <w:uiPriority w:val="39"/>
    <w:pPr>
      <w:spacing w:before="0" w:beforeLines="0" w:after="0" w:afterLines="0" w:line="240" w:lineRule="auto"/>
      <w:ind w:left="420" w:leftChars="200" w:firstLine="0" w:firstLineChars="0"/>
    </w:pPr>
    <w:rPr>
      <w:rFonts w:ascii="Times New Roman" w:hAnsi="Times New Roman" w:eastAsia="宋体" w:cs="Times New Roman"/>
      <w:sz w:val="21"/>
    </w:rPr>
  </w:style>
  <w:style w:type="paragraph" w:styleId="26">
    <w:name w:val="toc 9"/>
    <w:basedOn w:val="1"/>
    <w:next w:val="1"/>
    <w:unhideWhenUsed/>
    <w:qFormat/>
    <w:uiPriority w:val="39"/>
    <w:pPr>
      <w:spacing w:before="0" w:beforeLines="0" w:after="0" w:afterLines="0" w:line="240" w:lineRule="auto"/>
      <w:ind w:left="3360" w:leftChars="1600" w:firstLine="0" w:firstLineChars="0"/>
    </w:pPr>
    <w:rPr>
      <w:rFonts w:cstheme="minorBidi"/>
      <w:sz w:val="21"/>
      <w:szCs w:val="22"/>
    </w:rPr>
  </w:style>
  <w:style w:type="paragraph" w:styleId="27">
    <w:name w:val="Normal (Web)"/>
    <w:basedOn w:val="1"/>
    <w:unhideWhenUsed/>
    <w:uiPriority w:val="99"/>
    <w:pPr>
      <w:spacing w:before="100" w:beforeAutospacing="1" w:after="100" w:afterAutospacing="1"/>
      <w:jc w:val="left"/>
    </w:pPr>
    <w:rPr>
      <w:rFonts w:ascii="宋体" w:hAnsi="宋体" w:eastAsia="宋体" w:cs="宋体"/>
    </w:rPr>
  </w:style>
  <w:style w:type="paragraph" w:styleId="28">
    <w:name w:val="Title"/>
    <w:basedOn w:val="1"/>
    <w:next w:val="1"/>
    <w:link w:val="48"/>
    <w:qFormat/>
    <w:uiPriority w:val="0"/>
    <w:pPr>
      <w:spacing w:before="240" w:after="60"/>
      <w:jc w:val="center"/>
      <w:outlineLvl w:val="0"/>
    </w:pPr>
    <w:rPr>
      <w:rFonts w:eastAsia="宋体" w:asciiTheme="majorHAnsi" w:hAnsiTheme="majorHAnsi" w:cstheme="majorBidi"/>
      <w:b/>
      <w:bCs/>
      <w:sz w:val="32"/>
      <w:szCs w:val="32"/>
    </w:rPr>
  </w:style>
  <w:style w:type="paragraph" w:styleId="29">
    <w:name w:val="annotation subject"/>
    <w:basedOn w:val="10"/>
    <w:next w:val="10"/>
    <w:link w:val="56"/>
    <w:uiPriority w:val="0"/>
    <w:rPr>
      <w:b/>
      <w:bCs/>
    </w:rPr>
  </w:style>
  <w:style w:type="table" w:styleId="31">
    <w:name w:val="Table Grid"/>
    <w:basedOn w:val="30"/>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2">
    <w:name w:val="Table Theme"/>
    <w:basedOn w:val="30"/>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3">
    <w:name w:val="Table Classic 1"/>
    <w:basedOn w:val="30"/>
    <w:uiPriority w:val="0"/>
    <w:pPr>
      <w:widowControl w:val="0"/>
      <w:jc w:val="both"/>
    </w:pPr>
    <w:rPr>
      <w:rFonts w:ascii="Times New Roman" w:hAnsi="Times New Roman" w:eastAsia="宋体" w:cs="Times New Roman"/>
      <w:kern w:val="0"/>
      <w:sz w:val="20"/>
      <w:szCs w:val="20"/>
    </w:rPr>
    <w:tblPr>
      <w:tblBorders>
        <w:top w:val="single" w:color="000000" w:sz="12" w:space="0"/>
        <w:bottom w:val="single" w:color="000000" w:sz="12" w:space="0"/>
      </w:tblBorders>
      <w:tblLayout w:type="fixed"/>
    </w:tblPr>
    <w:tcPr>
      <w:shd w:val="clear" w:color="auto" w:fill="auto"/>
    </w:tcPr>
    <w:tblStylePr w:type="firstRow">
      <w:rPr>
        <w:i/>
        <w:iCs/>
      </w:rPr>
      <w:tblPr>
        <w:tblLayout w:type="fixed"/>
      </w:tblPr>
      <w:tcPr>
        <w:tcBorders>
          <w:bottom w:val="single" w:color="000000" w:sz="6" w:space="0"/>
          <w:tl2br w:val="nil"/>
          <w:tr2bl w:val="nil"/>
        </w:tcBorders>
      </w:tcPr>
    </w:tblStylePr>
    <w:tblStylePr w:type="lastRow">
      <w:rPr>
        <w:color w:val="auto"/>
      </w:rPr>
      <w:tblPr>
        <w:tblLayout w:type="fixed"/>
      </w:tblPr>
      <w:tcPr>
        <w:tcBorders>
          <w:top w:val="single" w:color="000000" w:sz="6" w:space="0"/>
          <w:tl2br w:val="nil"/>
          <w:tr2bl w:val="nil"/>
        </w:tcBorders>
      </w:tcPr>
    </w:tblStylePr>
    <w:tblStylePr w:type="firstCol">
      <w:tblPr>
        <w:tblLayout w:type="fixed"/>
      </w:tblPr>
      <w:tcPr>
        <w:tcBorders>
          <w:right w:val="single" w:color="000000" w:sz="6" w:space="0"/>
          <w:tl2br w:val="nil"/>
          <w:tr2bl w:val="nil"/>
        </w:tcBorders>
      </w:tcPr>
    </w:tblStylePr>
    <w:tblStylePr w:type="neCell">
      <w:rPr>
        <w:b/>
        <w:bCs/>
        <w:i w:val="0"/>
        <w:iCs w:val="0"/>
      </w:rPr>
      <w:tblPr>
        <w:tblLayout w:type="fixed"/>
      </w:tblPr>
      <w:tcPr>
        <w:tcBorders>
          <w:tl2br w:val="nil"/>
          <w:tr2bl w:val="nil"/>
        </w:tcBorders>
      </w:tcPr>
    </w:tblStylePr>
    <w:tblStylePr w:type="swCell">
      <w:rPr>
        <w:b/>
        <w:bCs/>
      </w:rPr>
      <w:tblPr>
        <w:tblLayout w:type="fixed"/>
      </w:tblPr>
      <w:tcPr>
        <w:tcBorders>
          <w:tl2br w:val="nil"/>
          <w:tr2bl w:val="nil"/>
        </w:tcBorders>
      </w:tcPr>
    </w:tblStylePr>
  </w:style>
  <w:style w:type="table" w:styleId="34">
    <w:name w:val="Table Simple 1"/>
    <w:basedOn w:val="30"/>
    <w:uiPriority w:val="0"/>
    <w:pPr>
      <w:widowControl w:val="0"/>
      <w:jc w:val="both"/>
    </w:pPr>
    <w:rPr>
      <w:rFonts w:ascii="Times New Roman" w:hAnsi="Times New Roman" w:eastAsia="宋体" w:cs="Times New Roman"/>
      <w:kern w:val="0"/>
      <w:sz w:val="20"/>
      <w:szCs w:val="20"/>
    </w:rPr>
    <w:tblPr>
      <w:tblBorders>
        <w:top w:val="single" w:color="008000" w:sz="12" w:space="0"/>
        <w:bottom w:val="single" w:color="008000" w:sz="12" w:space="0"/>
      </w:tblBorders>
      <w:tblLayout w:type="fixed"/>
    </w:tblPr>
    <w:tcPr>
      <w:shd w:val="clear" w:color="auto" w:fill="auto"/>
    </w:tcPr>
    <w:tblStylePr w:type="firstRow">
      <w:tblPr>
        <w:tblLayout w:type="fixed"/>
      </w:tblPr>
      <w:tcPr>
        <w:tcBorders>
          <w:bottom w:val="single" w:color="008000" w:sz="6" w:space="0"/>
          <w:tl2br w:val="nil"/>
          <w:tr2bl w:val="nil"/>
        </w:tcBorders>
      </w:tcPr>
    </w:tblStylePr>
    <w:tblStylePr w:type="lastRow">
      <w:tblPr>
        <w:tblLayout w:type="fixed"/>
      </w:tblPr>
      <w:tcPr>
        <w:tcBorders>
          <w:top w:val="single" w:color="008000" w:sz="6" w:space="0"/>
          <w:tl2br w:val="nil"/>
          <w:tr2bl w:val="nil"/>
        </w:tcBorders>
      </w:tcPr>
    </w:tblStylePr>
  </w:style>
  <w:style w:type="character" w:styleId="36">
    <w:name w:val="Strong"/>
    <w:basedOn w:val="35"/>
    <w:qFormat/>
    <w:uiPriority w:val="22"/>
    <w:rPr>
      <w:b/>
      <w:bCs/>
    </w:rPr>
  </w:style>
  <w:style w:type="character" w:styleId="37">
    <w:name w:val="endnote reference"/>
    <w:basedOn w:val="35"/>
    <w:semiHidden/>
    <w:unhideWhenUsed/>
    <w:uiPriority w:val="99"/>
    <w:rPr>
      <w:vertAlign w:val="superscript"/>
    </w:rPr>
  </w:style>
  <w:style w:type="character" w:styleId="38">
    <w:name w:val="page number"/>
    <w:basedOn w:val="35"/>
    <w:qFormat/>
    <w:uiPriority w:val="0"/>
  </w:style>
  <w:style w:type="character" w:styleId="39">
    <w:name w:val="Emphasis"/>
    <w:basedOn w:val="35"/>
    <w:qFormat/>
    <w:uiPriority w:val="20"/>
    <w:rPr>
      <w:i/>
      <w:iCs/>
    </w:rPr>
  </w:style>
  <w:style w:type="character" w:styleId="40">
    <w:name w:val="Hyperlink"/>
    <w:basedOn w:val="35"/>
    <w:unhideWhenUsed/>
    <w:uiPriority w:val="99"/>
    <w:rPr>
      <w:color w:val="136EC2"/>
      <w:u w:val="single"/>
    </w:rPr>
  </w:style>
  <w:style w:type="character" w:styleId="41">
    <w:name w:val="annotation reference"/>
    <w:uiPriority w:val="0"/>
    <w:rPr>
      <w:sz w:val="21"/>
      <w:szCs w:val="21"/>
    </w:rPr>
  </w:style>
  <w:style w:type="character" w:styleId="42">
    <w:name w:val="footnote reference"/>
    <w:uiPriority w:val="99"/>
    <w:rPr>
      <w:vertAlign w:val="superscript"/>
    </w:rPr>
  </w:style>
  <w:style w:type="character" w:customStyle="1" w:styleId="43">
    <w:name w:val="页眉 字符"/>
    <w:basedOn w:val="35"/>
    <w:link w:val="18"/>
    <w:uiPriority w:val="99"/>
    <w:rPr>
      <w:sz w:val="18"/>
      <w:szCs w:val="18"/>
    </w:rPr>
  </w:style>
  <w:style w:type="character" w:customStyle="1" w:styleId="44">
    <w:name w:val="页脚 字符"/>
    <w:basedOn w:val="35"/>
    <w:link w:val="17"/>
    <w:uiPriority w:val="99"/>
    <w:rPr>
      <w:sz w:val="18"/>
      <w:szCs w:val="18"/>
    </w:rPr>
  </w:style>
  <w:style w:type="character" w:customStyle="1" w:styleId="45">
    <w:name w:val="标题 1 字符"/>
    <w:basedOn w:val="35"/>
    <w:link w:val="2"/>
    <w:uiPriority w:val="0"/>
    <w:rPr>
      <w:rFonts w:ascii="Times New Roman" w:hAnsi="Times New Roman" w:eastAsia="华文中宋" w:cs="Times New Roman"/>
      <w:b/>
      <w:bCs/>
      <w:kern w:val="44"/>
      <w:sz w:val="36"/>
      <w:szCs w:val="44"/>
    </w:rPr>
  </w:style>
  <w:style w:type="character" w:customStyle="1" w:styleId="46">
    <w:name w:val="标题 2 字符"/>
    <w:basedOn w:val="35"/>
    <w:link w:val="3"/>
    <w:uiPriority w:val="9"/>
    <w:rPr>
      <w:rFonts w:ascii="Times New Roman" w:hAnsi="Times New Roman" w:eastAsia="华文中宋" w:cs="Times New Roman"/>
      <w:b/>
      <w:bCs/>
      <w:sz w:val="32"/>
      <w:szCs w:val="32"/>
    </w:rPr>
  </w:style>
  <w:style w:type="paragraph" w:styleId="47">
    <w:name w:val="List Paragraph"/>
    <w:basedOn w:val="1"/>
    <w:qFormat/>
    <w:uiPriority w:val="34"/>
    <w:pPr>
      <w:ind w:firstLine="420"/>
    </w:pPr>
  </w:style>
  <w:style w:type="character" w:customStyle="1" w:styleId="48">
    <w:name w:val="标题 字符"/>
    <w:basedOn w:val="35"/>
    <w:link w:val="28"/>
    <w:uiPriority w:val="0"/>
    <w:rPr>
      <w:rFonts w:eastAsia="宋体" w:asciiTheme="majorHAnsi" w:hAnsiTheme="majorHAnsi" w:cstheme="majorBidi"/>
      <w:b/>
      <w:bCs/>
      <w:sz w:val="32"/>
      <w:szCs w:val="32"/>
    </w:rPr>
  </w:style>
  <w:style w:type="paragraph" w:customStyle="1" w:styleId="49">
    <w:name w:val="列出段落1"/>
    <w:basedOn w:val="1"/>
    <w:uiPriority w:val="0"/>
    <w:pPr>
      <w:ind w:firstLine="420"/>
    </w:pPr>
    <w:rPr>
      <w:rFonts w:eastAsia="宋体"/>
    </w:rPr>
  </w:style>
  <w:style w:type="character" w:customStyle="1" w:styleId="50">
    <w:name w:val="标题 3 字符"/>
    <w:basedOn w:val="35"/>
    <w:link w:val="4"/>
    <w:uiPriority w:val="0"/>
    <w:rPr>
      <w:rFonts w:ascii="Times New Roman" w:hAnsi="Times New Roman" w:eastAsia="华文中宋" w:cs="Times New Roman"/>
      <w:b/>
      <w:bCs/>
      <w:kern w:val="44"/>
      <w:sz w:val="28"/>
      <w:szCs w:val="44"/>
    </w:rPr>
  </w:style>
  <w:style w:type="paragraph" w:customStyle="1" w:styleId="51">
    <w:name w:val="Char Char Char Char Char Char Char"/>
    <w:basedOn w:val="1"/>
    <w:qFormat/>
    <w:uiPriority w:val="0"/>
    <w:pPr>
      <w:spacing w:after="160" w:line="240" w:lineRule="exact"/>
      <w:jc w:val="left"/>
    </w:pPr>
    <w:rPr>
      <w:rFonts w:ascii="Tahoma" w:hAnsi="Tahoma" w:eastAsia="宋体"/>
      <w:lang w:eastAsia="en-US"/>
    </w:rPr>
  </w:style>
  <w:style w:type="paragraph" w:customStyle="1" w:styleId="52">
    <w:name w:val="Char Char Char Char"/>
    <w:basedOn w:val="1"/>
    <w:qFormat/>
    <w:uiPriority w:val="0"/>
    <w:pPr>
      <w:spacing w:after="160" w:line="240" w:lineRule="exact"/>
      <w:jc w:val="left"/>
    </w:pPr>
    <w:rPr>
      <w:rFonts w:ascii="Tahoma" w:hAnsi="Tahoma" w:eastAsia="宋体"/>
      <w:lang w:eastAsia="en-US"/>
    </w:rPr>
  </w:style>
  <w:style w:type="character" w:customStyle="1" w:styleId="53">
    <w:name w:val="批注框文本 字符"/>
    <w:basedOn w:val="35"/>
    <w:link w:val="16"/>
    <w:qFormat/>
    <w:uiPriority w:val="0"/>
    <w:rPr>
      <w:rFonts w:ascii="Times New Roman" w:hAnsi="Times New Roman" w:eastAsia="宋体" w:cs="Times New Roman"/>
      <w:sz w:val="18"/>
      <w:szCs w:val="18"/>
    </w:rPr>
  </w:style>
  <w:style w:type="character" w:customStyle="1" w:styleId="54">
    <w:name w:val="脚注文本 字符"/>
    <w:basedOn w:val="35"/>
    <w:link w:val="22"/>
    <w:qFormat/>
    <w:uiPriority w:val="99"/>
    <w:rPr>
      <w:rFonts w:ascii="Times New Roman" w:hAnsi="Times New Roman" w:eastAsia="宋体" w:cs="Times New Roman"/>
      <w:sz w:val="18"/>
      <w:szCs w:val="18"/>
    </w:rPr>
  </w:style>
  <w:style w:type="character" w:customStyle="1" w:styleId="55">
    <w:name w:val="批注文字 字符"/>
    <w:basedOn w:val="35"/>
    <w:link w:val="10"/>
    <w:uiPriority w:val="0"/>
    <w:rPr>
      <w:rFonts w:ascii="Times New Roman" w:hAnsi="Times New Roman" w:eastAsia="宋体" w:cs="Times New Roman"/>
      <w:szCs w:val="24"/>
    </w:rPr>
  </w:style>
  <w:style w:type="character" w:customStyle="1" w:styleId="56">
    <w:name w:val="批注主题 字符"/>
    <w:basedOn w:val="55"/>
    <w:link w:val="29"/>
    <w:uiPriority w:val="0"/>
    <w:rPr>
      <w:rFonts w:ascii="Times New Roman" w:hAnsi="Times New Roman" w:eastAsia="宋体" w:cs="Times New Roman"/>
      <w:b/>
      <w:bCs/>
      <w:szCs w:val="24"/>
    </w:rPr>
  </w:style>
  <w:style w:type="paragraph" w:customStyle="1" w:styleId="57">
    <w:name w:val="图标题"/>
    <w:next w:val="1"/>
    <w:link w:val="58"/>
    <w:qFormat/>
    <w:uiPriority w:val="0"/>
    <w:pPr>
      <w:spacing w:after="190" w:afterLines="50"/>
      <w:jc w:val="center"/>
    </w:pPr>
    <w:rPr>
      <w:rFonts w:asciiTheme="minorHAnsi" w:hAnsiTheme="minorHAnsi" w:eastAsiaTheme="minorEastAsia" w:cstheme="minorHAnsi"/>
      <w:b/>
      <w:bCs/>
      <w:color w:val="262626"/>
      <w:kern w:val="2"/>
      <w:sz w:val="24"/>
      <w:szCs w:val="21"/>
      <w:lang w:val="en-US" w:eastAsia="zh-CN" w:bidi="ar-SA"/>
    </w:rPr>
  </w:style>
  <w:style w:type="character" w:customStyle="1" w:styleId="58">
    <w:name w:val="图标题 Char"/>
    <w:basedOn w:val="35"/>
    <w:link w:val="57"/>
    <w:uiPriority w:val="0"/>
    <w:rPr>
      <w:rFonts w:cstheme="minorHAnsi"/>
      <w:b/>
      <w:bCs/>
      <w:color w:val="262626"/>
      <w:sz w:val="24"/>
      <w:szCs w:val="21"/>
    </w:rPr>
  </w:style>
  <w:style w:type="paragraph" w:customStyle="1" w:styleId="59">
    <w:name w:val="段落标题"/>
    <w:link w:val="61"/>
    <w:uiPriority w:val="0"/>
    <w:pPr>
      <w:keepNext/>
      <w:numPr>
        <w:ilvl w:val="0"/>
        <w:numId w:val="2"/>
      </w:numPr>
      <w:adjustRightInd w:val="0"/>
      <w:outlineLvl w:val="3"/>
    </w:pPr>
    <w:rPr>
      <w:rFonts w:eastAsia="华文中宋" w:asciiTheme="minorHAnsi" w:hAnsiTheme="minorHAnsi" w:cstheme="minorHAnsi"/>
      <w:b/>
      <w:kern w:val="2"/>
      <w:sz w:val="28"/>
      <w:szCs w:val="28"/>
      <w:lang w:val="en-US" w:eastAsia="zh-CN" w:bidi="ar-SA"/>
    </w:rPr>
  </w:style>
  <w:style w:type="paragraph" w:customStyle="1" w:styleId="60">
    <w:name w:val="图样式"/>
    <w:next w:val="1"/>
    <w:link w:val="62"/>
    <w:qFormat/>
    <w:uiPriority w:val="0"/>
    <w:pPr>
      <w:keepNext/>
      <w:jc w:val="center"/>
    </w:pPr>
    <w:rPr>
      <w:rFonts w:ascii="Times New Roman" w:hAnsi="Times New Roman" w:eastAsia="仿宋_GB2312" w:cs="Times New Roman"/>
      <w:kern w:val="2"/>
      <w:sz w:val="28"/>
      <w:szCs w:val="30"/>
      <w:lang w:val="en-US" w:eastAsia="zh-CN" w:bidi="ar-SA"/>
    </w:rPr>
  </w:style>
  <w:style w:type="character" w:customStyle="1" w:styleId="61">
    <w:name w:val="段落标题 Char"/>
    <w:basedOn w:val="35"/>
    <w:link w:val="59"/>
    <w:uiPriority w:val="0"/>
    <w:rPr>
      <w:rFonts w:eastAsia="华文中宋" w:cstheme="minorHAnsi"/>
      <w:b/>
      <w:sz w:val="28"/>
      <w:szCs w:val="28"/>
    </w:rPr>
  </w:style>
  <w:style w:type="character" w:customStyle="1" w:styleId="62">
    <w:name w:val="图样式 Char"/>
    <w:basedOn w:val="35"/>
    <w:link w:val="60"/>
    <w:uiPriority w:val="0"/>
    <w:rPr>
      <w:rFonts w:ascii="Times New Roman" w:hAnsi="Times New Roman" w:eastAsia="仿宋_GB2312" w:cs="Times New Roman"/>
      <w:sz w:val="28"/>
      <w:szCs w:val="30"/>
    </w:rPr>
  </w:style>
  <w:style w:type="paragraph" w:customStyle="1" w:styleId="63">
    <w:name w:val="表标题"/>
    <w:next w:val="1"/>
    <w:link w:val="65"/>
    <w:qFormat/>
    <w:uiPriority w:val="0"/>
    <w:pPr>
      <w:keepNext/>
      <w:spacing w:before="50" w:beforeLines="50" w:after="50" w:afterLines="50"/>
      <w:jc w:val="center"/>
    </w:pPr>
    <w:rPr>
      <w:rFonts w:asciiTheme="minorHAnsi" w:hAnsiTheme="minorHAnsi" w:eastAsiaTheme="minorEastAsia" w:cstheme="minorHAnsi"/>
      <w:b/>
      <w:bCs/>
      <w:color w:val="262626"/>
      <w:kern w:val="2"/>
      <w:sz w:val="24"/>
      <w:szCs w:val="21"/>
      <w:lang w:val="en-US" w:eastAsia="zh-CN" w:bidi="ar-SA"/>
    </w:rPr>
  </w:style>
  <w:style w:type="character" w:customStyle="1" w:styleId="64">
    <w:name w:val="标题 4 字符"/>
    <w:basedOn w:val="35"/>
    <w:link w:val="5"/>
    <w:uiPriority w:val="9"/>
    <w:rPr>
      <w:rFonts w:asciiTheme="majorHAnsi" w:hAnsiTheme="majorHAnsi" w:eastAsiaTheme="majorEastAsia" w:cstheme="majorBidi"/>
      <w:b/>
      <w:bCs/>
      <w:kern w:val="0"/>
      <w:sz w:val="28"/>
      <w:szCs w:val="28"/>
      <w:shd w:val="clear" w:color="auto" w:fill="FFFFFF"/>
    </w:rPr>
  </w:style>
  <w:style w:type="character" w:customStyle="1" w:styleId="65">
    <w:name w:val="表标题 Char"/>
    <w:basedOn w:val="58"/>
    <w:link w:val="63"/>
    <w:uiPriority w:val="0"/>
    <w:rPr>
      <w:rFonts w:cstheme="minorHAnsi"/>
      <w:color w:val="262626"/>
      <w:sz w:val="24"/>
      <w:szCs w:val="21"/>
    </w:rPr>
  </w:style>
  <w:style w:type="table" w:customStyle="1" w:styleId="66">
    <w:name w:val="样式1"/>
    <w:basedOn w:val="31"/>
    <w:uiPriority w:val="99"/>
    <w:pPr>
      <w:jc w:val="right"/>
    </w:pPr>
    <w:tblPr>
      <w:tblBorders>
        <w:top w:val="single" w:color="auto" w:sz="8" w:space="0"/>
        <w:bottom w:val="single" w:color="auto" w:sz="8" w:space="0"/>
        <w:insideH w:val="single" w:color="auto" w:sz="2" w:space="0"/>
        <w:insideV w:val="single" w:color="auto" w:sz="2" w:space="0"/>
      </w:tblBorders>
      <w:tblLayout w:type="fixed"/>
    </w:tblPr>
    <w:tcPr>
      <w:vAlign w:val="center"/>
    </w:tcPr>
    <w:tblStylePr w:type="firstRow">
      <w:pPr>
        <w:jc w:val="center"/>
      </w:pPr>
      <w:rPr>
        <w:rFonts w:eastAsia="仿宋_GB2312" w:cs="仿宋_GB2312" w:asciiTheme="minorHAnsi" w:hAnsiTheme="minorHAnsi"/>
        <w:b/>
        <w:sz w:val="24"/>
      </w:rPr>
    </w:tblStylePr>
    <w:tblStylePr w:type="lastRow">
      <w:rPr>
        <w:b/>
      </w:rPr>
    </w:tblStylePr>
    <w:tblStylePr w:type="firstCol">
      <w:pPr>
        <w:jc w:val="center"/>
      </w:pPr>
    </w:tblStylePr>
  </w:style>
  <w:style w:type="paragraph" w:customStyle="1" w:styleId="67">
    <w:name w:val="表内容格式"/>
    <w:link w:val="68"/>
    <w:qFormat/>
    <w:uiPriority w:val="0"/>
    <w:pPr>
      <w:jc w:val="center"/>
    </w:pPr>
    <w:rPr>
      <w:rFonts w:asciiTheme="minorHAnsi" w:hAnsiTheme="minorHAnsi" w:eastAsiaTheme="minorEastAsia" w:cstheme="minorHAnsi"/>
      <w:kern w:val="2"/>
      <w:sz w:val="24"/>
      <w:szCs w:val="24"/>
      <w:lang w:val="en-US" w:eastAsia="zh-CN" w:bidi="ar-SA"/>
    </w:rPr>
  </w:style>
  <w:style w:type="character" w:customStyle="1" w:styleId="68">
    <w:name w:val="表内容格式 Char"/>
    <w:basedOn w:val="35"/>
    <w:link w:val="67"/>
    <w:uiPriority w:val="0"/>
    <w:rPr>
      <w:rFonts w:cstheme="minorHAnsi"/>
      <w:sz w:val="24"/>
      <w:szCs w:val="24"/>
    </w:rPr>
  </w:style>
  <w:style w:type="paragraph" w:customStyle="1" w:styleId="69">
    <w:name w:val="表格中文字"/>
    <w:link w:val="70"/>
    <w:uiPriority w:val="99"/>
    <w:pPr>
      <w:jc w:val="center"/>
    </w:pPr>
    <w:rPr>
      <w:rFonts w:ascii="Times New Roman" w:hAnsi="Times New Roman" w:eastAsia="仿宋_GB2312" w:cs="Times New Roman"/>
      <w:kern w:val="2"/>
      <w:sz w:val="24"/>
      <w:szCs w:val="28"/>
      <w:lang w:val="en-US" w:eastAsia="zh-CN" w:bidi="ar-SA"/>
    </w:rPr>
  </w:style>
  <w:style w:type="character" w:customStyle="1" w:styleId="70">
    <w:name w:val="表格中文字 Char"/>
    <w:link w:val="69"/>
    <w:locked/>
    <w:uiPriority w:val="99"/>
    <w:rPr>
      <w:rFonts w:ascii="Times New Roman" w:hAnsi="Times New Roman" w:eastAsia="仿宋_GB2312" w:cs="Times New Roman"/>
      <w:sz w:val="24"/>
      <w:szCs w:val="28"/>
    </w:rPr>
  </w:style>
  <w:style w:type="paragraph" w:customStyle="1" w:styleId="71">
    <w:name w:val="图表标题"/>
    <w:link w:val="73"/>
    <w:uiPriority w:val="99"/>
    <w:pPr>
      <w:spacing w:beforeLines="50" w:afterLines="50"/>
      <w:jc w:val="center"/>
    </w:pPr>
    <w:rPr>
      <w:rFonts w:ascii="Times New Roman" w:hAnsi="Times New Roman" w:eastAsia="仿宋_GB2312" w:cs="Times New Roman"/>
      <w:kern w:val="2"/>
      <w:sz w:val="24"/>
      <w:szCs w:val="28"/>
      <w:lang w:val="en-US" w:eastAsia="zh-CN" w:bidi="ar-SA"/>
    </w:rPr>
  </w:style>
  <w:style w:type="paragraph" w:customStyle="1" w:styleId="72">
    <w:name w:val="结论标题"/>
    <w:next w:val="1"/>
    <w:link w:val="74"/>
    <w:uiPriority w:val="99"/>
    <w:pPr>
      <w:keepNext/>
      <w:numPr>
        <w:ilvl w:val="0"/>
        <w:numId w:val="3"/>
      </w:numPr>
      <w:outlineLvl w:val="3"/>
    </w:pPr>
    <w:rPr>
      <w:rFonts w:ascii="Times New Roman" w:hAnsi="Times New Roman" w:eastAsia="仿宋_GB2312" w:cs="Times New Roman"/>
      <w:b/>
      <w:kern w:val="2"/>
      <w:sz w:val="28"/>
      <w:szCs w:val="28"/>
      <w:lang w:val="en-US" w:eastAsia="zh-CN" w:bidi="ar-SA"/>
    </w:rPr>
  </w:style>
  <w:style w:type="character" w:customStyle="1" w:styleId="73">
    <w:name w:val="图表标题 Char"/>
    <w:link w:val="71"/>
    <w:locked/>
    <w:uiPriority w:val="99"/>
    <w:rPr>
      <w:rFonts w:ascii="Times New Roman" w:hAnsi="Times New Roman" w:eastAsia="仿宋_GB2312" w:cs="Times New Roman"/>
      <w:sz w:val="24"/>
      <w:szCs w:val="28"/>
    </w:rPr>
  </w:style>
  <w:style w:type="character" w:customStyle="1" w:styleId="74">
    <w:name w:val="结论标题 Char"/>
    <w:link w:val="72"/>
    <w:locked/>
    <w:uiPriority w:val="99"/>
    <w:rPr>
      <w:rFonts w:ascii="Times New Roman" w:hAnsi="Times New Roman" w:eastAsia="仿宋_GB2312" w:cs="Times New Roman"/>
      <w:b/>
      <w:sz w:val="28"/>
      <w:szCs w:val="28"/>
    </w:rPr>
  </w:style>
  <w:style w:type="character" w:customStyle="1" w:styleId="75">
    <w:name w:val="尾注文本 字符"/>
    <w:basedOn w:val="35"/>
    <w:link w:val="15"/>
    <w:semiHidden/>
    <w:uiPriority w:val="99"/>
    <w:rPr>
      <w:rFonts w:ascii="Times New Roman" w:hAnsi="Times New Roman" w:eastAsia="仿宋_GB2312" w:cs="Times New Roman"/>
      <w:sz w:val="28"/>
      <w:szCs w:val="30"/>
    </w:rPr>
  </w:style>
  <w:style w:type="table" w:customStyle="1" w:styleId="76">
    <w:name w:val="网格型1"/>
    <w:basedOn w:val="30"/>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77">
    <w:name w:val="h9"/>
    <w:basedOn w:val="35"/>
    <w:uiPriority w:val="0"/>
  </w:style>
  <w:style w:type="paragraph" w:customStyle="1" w:styleId="78">
    <w:name w:val="我的正文"/>
    <w:basedOn w:val="1"/>
    <w:link w:val="79"/>
    <w:qFormat/>
    <w:uiPriority w:val="0"/>
    <w:pPr>
      <w:spacing w:before="0" w:beforeLines="0" w:after="0" w:afterLines="0"/>
      <w:ind w:firstLine="420"/>
    </w:pPr>
    <w:rPr>
      <w:rFonts w:ascii="Times New Roman" w:hAnsi="Times New Roman" w:eastAsia="宋体" w:cs="Times New Roman"/>
      <w:sz w:val="21"/>
    </w:rPr>
  </w:style>
  <w:style w:type="character" w:customStyle="1" w:styleId="79">
    <w:name w:val="我的正文 Char"/>
    <w:basedOn w:val="35"/>
    <w:link w:val="78"/>
    <w:uiPriority w:val="0"/>
    <w:rPr>
      <w:rFonts w:ascii="Times New Roman" w:hAnsi="Times New Roman" w:eastAsia="宋体" w:cs="Times New Roman"/>
      <w:szCs w:val="24"/>
    </w:rPr>
  </w:style>
  <w:style w:type="paragraph" w:customStyle="1" w:styleId="80">
    <w:name w:val="样式 标题 1 + 字距调整小二"/>
    <w:basedOn w:val="2"/>
    <w:uiPriority w:val="0"/>
    <w:pPr>
      <w:widowControl w:val="0"/>
      <w:numPr>
        <w:numId w:val="0"/>
      </w:numPr>
      <w:spacing w:before="240" w:after="240" w:line="240" w:lineRule="auto"/>
      <w:jc w:val="both"/>
    </w:pPr>
    <w:rPr>
      <w:rFonts w:eastAsia="宋体"/>
      <w:kern w:val="36"/>
    </w:rPr>
  </w:style>
  <w:style w:type="paragraph" w:customStyle="1" w:styleId="81">
    <w:name w:val="样式 标题 2 + 字距调整小二"/>
    <w:basedOn w:val="3"/>
    <w:uiPriority w:val="0"/>
    <w:pPr>
      <w:widowControl w:val="0"/>
      <w:numPr>
        <w:ilvl w:val="0"/>
        <w:numId w:val="0"/>
      </w:numPr>
      <w:spacing w:before="120" w:after="120" w:line="240" w:lineRule="auto"/>
      <w:jc w:val="both"/>
    </w:pPr>
    <w:rPr>
      <w:rFonts w:ascii="Arial" w:hAnsi="Arial" w:eastAsia="黑体"/>
      <w:kern w:val="36"/>
    </w:rPr>
  </w:style>
  <w:style w:type="character" w:customStyle="1" w:styleId="82">
    <w:name w:val="文档结构图 字符"/>
    <w:basedOn w:val="35"/>
    <w:link w:val="9"/>
    <w:semiHidden/>
    <w:uiPriority w:val="0"/>
    <w:rPr>
      <w:rFonts w:ascii="Times New Roman" w:hAnsi="Times New Roman" w:eastAsia="宋体" w:cs="Times New Roman"/>
      <w:szCs w:val="24"/>
      <w:shd w:val="clear" w:color="auto" w:fill="000080"/>
    </w:rPr>
  </w:style>
  <w:style w:type="paragraph" w:customStyle="1" w:styleId="83">
    <w:name w:val="Char Char Char Char Char Char Char4"/>
    <w:basedOn w:val="1"/>
    <w:uiPriority w:val="0"/>
    <w:pPr>
      <w:spacing w:before="0" w:beforeLines="0" w:after="160" w:afterLines="0" w:line="240" w:lineRule="exact"/>
      <w:ind w:firstLine="0" w:firstLineChars="0"/>
      <w:jc w:val="left"/>
    </w:pPr>
    <w:rPr>
      <w:rFonts w:ascii="Tahoma" w:hAnsi="Tahoma" w:eastAsia="宋体" w:cs="Times New Roman"/>
      <w:lang w:eastAsia="en-US"/>
    </w:rPr>
  </w:style>
  <w:style w:type="paragraph" w:customStyle="1" w:styleId="84">
    <w:name w:val="Char Char Char Char Char Char Char3"/>
    <w:basedOn w:val="1"/>
    <w:uiPriority w:val="0"/>
    <w:pPr>
      <w:spacing w:before="0" w:beforeLines="0" w:after="160" w:afterLines="0" w:line="240" w:lineRule="exact"/>
      <w:ind w:firstLine="0" w:firstLineChars="0"/>
      <w:jc w:val="left"/>
    </w:pPr>
    <w:rPr>
      <w:rFonts w:ascii="Tahoma" w:hAnsi="Tahoma" w:eastAsia="宋体" w:cs="Times New Roman"/>
      <w:lang w:eastAsia="en-US"/>
    </w:rPr>
  </w:style>
  <w:style w:type="character" w:customStyle="1" w:styleId="85">
    <w:name w:val="副标题 字符"/>
    <w:basedOn w:val="35"/>
    <w:link w:val="21"/>
    <w:qFormat/>
    <w:uiPriority w:val="0"/>
    <w:rPr>
      <w:rFonts w:ascii="Cambria" w:hAnsi="Cambria" w:eastAsia="宋体" w:cs="Times New Roman"/>
      <w:b/>
      <w:bCs/>
      <w:kern w:val="28"/>
      <w:sz w:val="32"/>
      <w:szCs w:val="32"/>
    </w:rPr>
  </w:style>
  <w:style w:type="paragraph" w:customStyle="1" w:styleId="86">
    <w:name w:val="Char Char Char Char Char Char Char2"/>
    <w:basedOn w:val="1"/>
    <w:uiPriority w:val="0"/>
    <w:pPr>
      <w:spacing w:before="0" w:beforeLines="0" w:after="160" w:afterLines="0" w:line="240" w:lineRule="exact"/>
      <w:ind w:firstLine="0" w:firstLineChars="0"/>
      <w:jc w:val="left"/>
    </w:pPr>
    <w:rPr>
      <w:rFonts w:ascii="Tahoma" w:hAnsi="Tahoma" w:eastAsia="宋体" w:cs="Times New Roman"/>
      <w:lang w:eastAsia="en-US"/>
    </w:rPr>
  </w:style>
  <w:style w:type="paragraph" w:customStyle="1" w:styleId="87">
    <w:name w:val="Char Char Char Char Char Char Char1"/>
    <w:basedOn w:val="1"/>
    <w:uiPriority w:val="0"/>
    <w:pPr>
      <w:spacing w:before="0" w:beforeLines="0" w:after="160" w:afterLines="0" w:line="240" w:lineRule="exact"/>
      <w:ind w:firstLine="0" w:firstLineChars="0"/>
      <w:jc w:val="left"/>
    </w:pPr>
    <w:rPr>
      <w:rFonts w:ascii="Tahoma" w:hAnsi="Tahoma" w:eastAsia="宋体" w:cs="Times New Roman"/>
      <w:lang w:eastAsia="en-US"/>
    </w:rPr>
  </w:style>
  <w:style w:type="paragraph" w:customStyle="1" w:styleId="88">
    <w:name w:val="TOC Heading"/>
    <w:basedOn w:val="2"/>
    <w:next w:val="1"/>
    <w:unhideWhenUsed/>
    <w:qFormat/>
    <w:uiPriority w:val="39"/>
    <w:pPr>
      <w:numPr>
        <w:numId w:val="0"/>
      </w:numPr>
      <w:spacing w:before="240" w:after="0" w:line="259" w:lineRule="auto"/>
      <w:outlineLvl w:val="9"/>
    </w:pPr>
    <w:rPr>
      <w:rFonts w:eastAsiaTheme="majorEastAsia" w:cstheme="majorBidi"/>
      <w:b w:val="0"/>
      <w:bCs w:val="0"/>
      <w:color w:val="7D9263" w:themeColor="accent1" w:themeShade="BF"/>
      <w:kern w:val="0"/>
      <w:sz w:val="32"/>
      <w:szCs w:val="32"/>
    </w:rPr>
  </w:style>
  <w:style w:type="character" w:customStyle="1" w:styleId="89">
    <w:name w:val="标题 5 字符"/>
    <w:basedOn w:val="35"/>
    <w:link w:val="6"/>
    <w:qFormat/>
    <w:uiPriority w:val="9"/>
    <w:rPr>
      <w:rFonts w:cstheme="minorHAnsi"/>
      <w:b/>
      <w:bCs/>
      <w:kern w:val="0"/>
      <w:sz w:val="28"/>
      <w:szCs w:val="28"/>
      <w:shd w:val="clear" w:color="auto" w:fill="FFFFFF"/>
    </w:rPr>
  </w:style>
  <w:style w:type="paragraph" w:customStyle="1" w:styleId="9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table" w:customStyle="1" w:styleId="91">
    <w:name w:val="网格型2"/>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2">
    <w:name w:val="Placeholder Text"/>
    <w:basedOn w:val="35"/>
    <w:semiHidden/>
    <w:qFormat/>
    <w:uiPriority w:val="99"/>
    <w:rPr>
      <w:color w:val="808080"/>
    </w:rPr>
  </w:style>
  <w:style w:type="character" w:customStyle="1" w:styleId="93">
    <w:name w:val="日期 字符"/>
    <w:basedOn w:val="35"/>
    <w:link w:val="14"/>
    <w:semiHidden/>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cuments\WXWork\1688858405386358\Cache\File\2022-07\&#30740;&#31350;&#25253;&#21578;&#27169;&#26495;2018.dotx" TargetMode="External"/></Relationships>
</file>

<file path=word/theme/theme1.xml><?xml version="1.0" encoding="utf-8"?>
<a:theme xmlns:a="http://schemas.openxmlformats.org/drawingml/2006/main" name="Office 主题​​">
  <a:themeElements>
    <a:clrScheme name="纸张">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自定义 2">
      <a:majorFont>
        <a:latin typeface="Times New Roman"/>
        <a:ea typeface="黑体"/>
        <a:cs typeface=""/>
      </a:majorFont>
      <a:minorFont>
        <a:latin typeface="Times New Roman"/>
        <a:ea typeface="宋体"/>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26C461-5F07-45BB-B9EB-42ED898D4E24}">
  <ds:schemaRefs/>
</ds:datastoreItem>
</file>

<file path=docProps/app.xml><?xml version="1.0" encoding="utf-8"?>
<Properties xmlns="http://schemas.openxmlformats.org/officeDocument/2006/extended-properties" xmlns:vt="http://schemas.openxmlformats.org/officeDocument/2006/docPropsVTypes">
  <Template>研究报告模板2018.dotx</Template>
  <Company>Sky123.Org</Company>
  <Pages>9</Pages>
  <Words>645</Words>
  <Characters>3681</Characters>
  <Lines>30</Lines>
  <Paragraphs>8</Paragraphs>
  <TotalTime>4</TotalTime>
  <ScaleCrop>false</ScaleCrop>
  <LinksUpToDate>false</LinksUpToDate>
  <CharactersWithSpaces>4318</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2023-05-31T07:16:00Z</dcterms:created>
  <dc:creator>L</dc:creator>
  <cp:lastModifiedBy>WPS_1528035891</cp:lastModifiedBy>
  <cp:lastPrinted>2022-09-14T00:51:00Z</cp:lastPrinted>
  <dcterms:modified xsi:type="dcterms:W3CDTF">2024-06-06T08:27:50Z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1205858430</vt:i4>
  </property>
  <property fmtid="{D5CDD505-2E9C-101B-9397-08002B2CF9AE}" pid="3" name="KSOProductBuildVer">
    <vt:lpwstr>2052-11.1.0.9021</vt:lpwstr>
  </property>
</Properties>
</file>