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rPr>
          <w:rFonts w:ascii="黑体" w:hAnsi="黑体" w:eastAsia="黑体" w:cs="黑体"/>
        </w:rPr>
      </w:pPr>
      <w:r>
        <w:rPr>
          <w:rFonts w:ascii="黑体" w:hAnsi="黑体" w:eastAsia="黑体" w:cs="黑体"/>
        </w:rPr>
        <w:t>湖北省</w:t>
      </w:r>
      <w:r>
        <w:rPr>
          <w:rFonts w:hint="eastAsia" w:ascii="黑体" w:hAnsi="黑体" w:eastAsia="黑体" w:cs="黑体"/>
          <w:lang w:eastAsia="zh-CN"/>
        </w:rPr>
        <w:t>国庆假期</w:t>
      </w:r>
      <w:r>
        <w:rPr>
          <w:rFonts w:ascii="黑体" w:hAnsi="黑体" w:eastAsia="黑体" w:cs="黑体"/>
        </w:rPr>
        <w:t>综合运输客流快报</w:t>
      </w:r>
    </w:p>
    <w:p>
      <w:pPr>
        <w:pStyle w:val="13"/>
        <w:ind w:firstLine="880" w:firstLineChars="200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/>
        <w:textAlignment w:val="auto"/>
        <w:rPr>
          <w:rFonts w:hint="eastAsia" w:eastAsia="仿宋_GB2312"/>
          <w:lang w:eastAsia="zh-CN"/>
        </w:rPr>
      </w:pPr>
      <w:r>
        <w:rPr>
          <w:rFonts w:hint="eastAsia"/>
          <w:lang w:val="en-US" w:eastAsia="zh-CN"/>
        </w:rPr>
        <w:t>10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XX</w:t>
      </w:r>
      <w:r>
        <w:rPr>
          <w:rFonts w:hint="eastAsia"/>
        </w:rPr>
        <w:t>日（</w:t>
      </w:r>
      <w:r>
        <w:rPr>
          <w:rFonts w:hint="eastAsia"/>
          <w:lang w:val="en-US" w:eastAsia="zh-CN"/>
        </w:rPr>
        <w:t>假期</w:t>
      </w:r>
      <w:r>
        <w:rPr>
          <w:rFonts w:hint="eastAsia"/>
        </w:rPr>
        <w:t>第</w:t>
      </w:r>
      <w:r>
        <w:rPr>
          <w:rFonts w:hint="eastAsia"/>
          <w:lang w:val="en-US" w:eastAsia="zh-CN"/>
        </w:rPr>
        <w:t>XX</w:t>
      </w:r>
      <w:r>
        <w:rPr>
          <w:rFonts w:hint="eastAsia"/>
        </w:rPr>
        <w:t>天），</w:t>
      </w:r>
      <w:r>
        <w:t>全省全社会跨区域人员流动量</w:t>
      </w:r>
      <w:r>
        <w:rPr>
          <w:rFonts w:hint="eastAsia"/>
          <w:lang w:val="en-US" w:eastAsia="zh-CN"/>
        </w:rPr>
        <w:t>XX</w:t>
      </w:r>
      <w:r>
        <w:rPr>
          <w:rFonts w:hint="eastAsia"/>
        </w:rPr>
        <w:t>万</w:t>
      </w:r>
      <w:r>
        <w:t>人次，</w:t>
      </w:r>
      <w:r>
        <w:rPr>
          <w:rFonts w:hint="eastAsia"/>
        </w:rPr>
        <w:t>环比</w:t>
      </w:r>
      <w:r>
        <w:rPr>
          <w:rFonts w:hint="eastAsia"/>
          <w:lang w:val="en-US" w:eastAsia="zh-CN"/>
        </w:rPr>
        <w:t>增长/下降XX</w:t>
      </w:r>
      <w:r>
        <w:rPr>
          <w:rFonts w:hint="eastAsia"/>
        </w:rPr>
        <w:t>%，比</w:t>
      </w:r>
      <w:r>
        <w:t>202</w:t>
      </w:r>
      <w:r>
        <w:rPr>
          <w:rFonts w:hint="eastAsia"/>
        </w:rPr>
        <w:t>5</w:t>
      </w:r>
      <w:r>
        <w:t>年</w:t>
      </w:r>
      <w:r>
        <w:rPr>
          <w:rFonts w:hint="eastAsia"/>
        </w:rPr>
        <w:t>同期</w:t>
      </w:r>
      <w:r>
        <w:rPr>
          <w:rFonts w:hint="eastAsia"/>
          <w:lang w:val="en-US" w:eastAsia="zh-CN"/>
        </w:rPr>
        <w:t>增长/下降XX</w:t>
      </w:r>
      <w:r>
        <w:rPr>
          <w:rFonts w:hint="eastAsia"/>
        </w:rPr>
        <w:t>%</w:t>
      </w:r>
      <w:r>
        <w:rPr>
          <w:rFonts w:hint="eastAsia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假期以来</w:t>
      </w:r>
      <w:r>
        <w:rPr>
          <w:rFonts w:hint="eastAsia"/>
        </w:rPr>
        <w:t>，</w:t>
      </w:r>
      <w:r>
        <w:t>全省全社会跨区域人员流动量</w:t>
      </w:r>
      <w:r>
        <w:rPr>
          <w:rFonts w:hint="eastAsia"/>
        </w:rPr>
        <w:t>累计</w:t>
      </w:r>
      <w:r>
        <w:rPr>
          <w:rFonts w:hint="eastAsia"/>
          <w:lang w:val="en-US" w:eastAsia="zh-CN"/>
        </w:rPr>
        <w:t>XX</w:t>
      </w:r>
      <w:r>
        <w:rPr>
          <w:rFonts w:hint="eastAsia"/>
        </w:rPr>
        <w:t>亿</w:t>
      </w:r>
      <w:r>
        <w:t>人次，比202</w:t>
      </w:r>
      <w:r>
        <w:rPr>
          <w:rFonts w:hint="eastAsia"/>
        </w:rPr>
        <w:t>5</w:t>
      </w:r>
      <w:r>
        <w:t>年</w:t>
      </w:r>
      <w:r>
        <w:rPr>
          <w:rFonts w:hint="eastAsia"/>
        </w:rPr>
        <w:t>同期</w:t>
      </w:r>
      <w:r>
        <w:rPr>
          <w:rFonts w:hint="eastAsia"/>
          <w:lang w:val="en-US" w:eastAsia="zh-CN"/>
        </w:rPr>
        <w:t>增长/下降XX</w:t>
      </w:r>
      <w:r>
        <w:rPr>
          <w:rFonts w:hint="eastAsia"/>
        </w:rPr>
        <w:t>%</w:t>
      </w:r>
      <w: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0" w:firstLineChars="0"/>
        <w:jc w:val="center"/>
        <w:textAlignment w:val="auto"/>
        <w:rPr>
          <w:rFonts w:hint="eastAsia" w:cs="仿宋_GB2312"/>
          <w:b/>
          <w:bCs/>
        </w:rPr>
      </w:pPr>
      <w:r>
        <w:rPr>
          <w:rFonts w:hint="eastAsia" w:cs="仿宋_GB2312"/>
          <w:b/>
          <w:bCs/>
          <w:lang w:val="en-US" w:eastAsia="zh-CN"/>
        </w:rPr>
        <w:t>国庆假期</w:t>
      </w:r>
      <w:bookmarkStart w:id="0" w:name="_GoBack"/>
      <w:bookmarkEnd w:id="0"/>
      <w:r>
        <w:rPr>
          <w:rFonts w:hint="eastAsia" w:cs="仿宋_GB2312"/>
          <w:b/>
          <w:bCs/>
        </w:rPr>
        <w:t>分运输方式客流情况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/>
        <w:jc w:val="left"/>
        <w:textAlignment w:val="auto"/>
        <w:rPr>
          <w:rFonts w:hint="eastAsia"/>
        </w:rPr>
      </w:pPr>
      <w:r>
        <w:rPr>
          <w:rFonts w:hint="eastAsia" w:cs="仿宋_GB2312"/>
          <w:b/>
          <w:bCs/>
        </w:rPr>
        <w:t xml:space="preserve">                                      </w:t>
      </w:r>
      <w:r>
        <w:rPr>
          <w:rFonts w:hint="eastAsia" w:cs="仿宋_GB2312"/>
          <w:b/>
          <w:bCs/>
          <w:sz w:val="24"/>
        </w:rPr>
        <w:t>单位：万人次</w:t>
      </w:r>
    </w:p>
    <w:tbl>
      <w:tblPr>
        <w:tblStyle w:val="11"/>
        <w:tblW w:w="89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450"/>
        <w:gridCol w:w="1083"/>
        <w:gridCol w:w="920"/>
        <w:gridCol w:w="881"/>
        <w:gridCol w:w="851"/>
        <w:gridCol w:w="1244"/>
        <w:gridCol w:w="992"/>
        <w:gridCol w:w="9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2012" w:type="dxa"/>
            <w:gridSpan w:val="2"/>
            <w:vMerge w:val="restart"/>
            <w:vAlign w:val="center"/>
          </w:tcPr>
          <w:p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分运输</w:t>
            </w:r>
          </w:p>
          <w:p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方式</w:t>
            </w:r>
          </w:p>
        </w:tc>
        <w:tc>
          <w:tcPr>
            <w:tcW w:w="3735" w:type="dxa"/>
            <w:gridSpan w:val="4"/>
            <w:vAlign w:val="center"/>
          </w:tcPr>
          <w:p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当日数据</w:t>
            </w:r>
          </w:p>
        </w:tc>
        <w:tc>
          <w:tcPr>
            <w:tcW w:w="3227" w:type="dxa"/>
            <w:gridSpan w:val="3"/>
            <w:vAlign w:val="center"/>
          </w:tcPr>
          <w:p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累计数据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  <w:jc w:val="center"/>
        </w:trPr>
        <w:tc>
          <w:tcPr>
            <w:tcW w:w="2012" w:type="dxa"/>
            <w:gridSpan w:val="2"/>
            <w:vMerge w:val="continue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cs="仿宋_GB2312"/>
                <w:sz w:val="24"/>
              </w:rPr>
            </w:pPr>
          </w:p>
        </w:tc>
        <w:tc>
          <w:tcPr>
            <w:tcW w:w="1083" w:type="dxa"/>
            <w:vAlign w:val="center"/>
          </w:tcPr>
          <w:p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</w:p>
          <w:p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当日</w:t>
            </w:r>
          </w:p>
          <w:p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</w:p>
        </w:tc>
        <w:tc>
          <w:tcPr>
            <w:tcW w:w="920" w:type="dxa"/>
            <w:vAlign w:val="center"/>
          </w:tcPr>
          <w:p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环比</w:t>
            </w:r>
          </w:p>
        </w:tc>
        <w:tc>
          <w:tcPr>
            <w:tcW w:w="881" w:type="dxa"/>
            <w:vAlign w:val="center"/>
          </w:tcPr>
          <w:p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同比2025年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同比2019年</w:t>
            </w:r>
          </w:p>
        </w:tc>
        <w:tc>
          <w:tcPr>
            <w:tcW w:w="1244" w:type="dxa"/>
            <w:vAlign w:val="center"/>
          </w:tcPr>
          <w:p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累计</w:t>
            </w:r>
          </w:p>
        </w:tc>
        <w:tc>
          <w:tcPr>
            <w:tcW w:w="992" w:type="dxa"/>
            <w:vAlign w:val="center"/>
          </w:tcPr>
          <w:p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同比2025年</w:t>
            </w:r>
          </w:p>
        </w:tc>
        <w:tc>
          <w:tcPr>
            <w:tcW w:w="991" w:type="dxa"/>
            <w:vAlign w:val="center"/>
          </w:tcPr>
          <w:p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同比2019年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4" w:hRule="atLeast"/>
          <w:jc w:val="center"/>
        </w:trPr>
        <w:tc>
          <w:tcPr>
            <w:tcW w:w="562" w:type="dxa"/>
            <w:vMerge w:val="restart"/>
            <w:vAlign w:val="center"/>
          </w:tcPr>
          <w:p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公路人员流动量</w:t>
            </w:r>
          </w:p>
        </w:tc>
        <w:tc>
          <w:tcPr>
            <w:tcW w:w="1450" w:type="dxa"/>
            <w:vAlign w:val="center"/>
          </w:tcPr>
          <w:p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高速公路及普通国省道非营业性小客车人员出行量</w:t>
            </w:r>
          </w:p>
        </w:tc>
        <w:tc>
          <w:tcPr>
            <w:tcW w:w="1083" w:type="dxa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920" w:type="dxa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</w:p>
        </w:tc>
        <w:tc>
          <w:tcPr>
            <w:tcW w:w="881" w:type="dxa"/>
            <w:vAlign w:val="center"/>
          </w:tcPr>
          <w:p>
            <w:pPr>
              <w:pStyle w:val="2"/>
              <w:ind w:firstLine="0" w:firstLineChars="0"/>
              <w:jc w:val="both"/>
              <w:rPr>
                <w:rFonts w:hint="eastAsia" w:cs="仿宋_GB2312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pStyle w:val="2"/>
              <w:ind w:firstLine="210" w:firstLineChars="100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cs="仿宋_GB2312"/>
                <w:sz w:val="21"/>
                <w:szCs w:val="21"/>
              </w:rPr>
              <w:t>—</w:t>
            </w:r>
          </w:p>
        </w:tc>
        <w:tc>
          <w:tcPr>
            <w:tcW w:w="1244" w:type="dxa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992" w:type="dxa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</w:p>
        </w:tc>
        <w:tc>
          <w:tcPr>
            <w:tcW w:w="991" w:type="dxa"/>
            <w:vAlign w:val="center"/>
          </w:tcPr>
          <w:p>
            <w:pPr>
              <w:pStyle w:val="2"/>
              <w:ind w:firstLine="210" w:firstLineChars="100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cs="仿宋_GB2312"/>
                <w:sz w:val="21"/>
                <w:szCs w:val="21"/>
              </w:rPr>
              <w:t>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562" w:type="dxa"/>
            <w:vMerge w:val="continue"/>
            <w:vAlign w:val="center"/>
          </w:tcPr>
          <w:p>
            <w:pPr>
              <w:pStyle w:val="2"/>
              <w:spacing w:line="360" w:lineRule="exact"/>
              <w:ind w:firstLine="482"/>
              <w:jc w:val="center"/>
              <w:rPr>
                <w:rFonts w:hint="eastAsia" w:cs="仿宋_GB2312"/>
                <w:b/>
                <w:bCs/>
                <w:sz w:val="24"/>
              </w:rPr>
            </w:pPr>
          </w:p>
        </w:tc>
        <w:tc>
          <w:tcPr>
            <w:tcW w:w="1450" w:type="dxa"/>
            <w:vAlign w:val="center"/>
          </w:tcPr>
          <w:p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公路营业性客运量</w:t>
            </w:r>
          </w:p>
        </w:tc>
        <w:tc>
          <w:tcPr>
            <w:tcW w:w="1083" w:type="dxa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920" w:type="dxa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</w:p>
        </w:tc>
        <w:tc>
          <w:tcPr>
            <w:tcW w:w="881" w:type="dxa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</w:p>
        </w:tc>
        <w:tc>
          <w:tcPr>
            <w:tcW w:w="1244" w:type="dxa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992" w:type="dxa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</w:p>
        </w:tc>
        <w:tc>
          <w:tcPr>
            <w:tcW w:w="991" w:type="dxa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562" w:type="dxa"/>
            <w:vMerge w:val="continue"/>
            <w:vAlign w:val="center"/>
          </w:tcPr>
          <w:p>
            <w:pPr>
              <w:pStyle w:val="2"/>
              <w:spacing w:line="360" w:lineRule="exact"/>
              <w:ind w:firstLine="482"/>
              <w:jc w:val="center"/>
              <w:rPr>
                <w:rFonts w:hint="eastAsia" w:cs="仿宋_GB2312"/>
                <w:b/>
                <w:bCs/>
                <w:sz w:val="24"/>
              </w:rPr>
            </w:pPr>
          </w:p>
        </w:tc>
        <w:tc>
          <w:tcPr>
            <w:tcW w:w="1450" w:type="dxa"/>
            <w:vAlign w:val="center"/>
          </w:tcPr>
          <w:p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  <w:highlight w:val="none"/>
              </w:rPr>
              <w:t>合计</w:t>
            </w:r>
          </w:p>
        </w:tc>
        <w:tc>
          <w:tcPr>
            <w:tcW w:w="1083" w:type="dxa"/>
          </w:tcPr>
          <w:p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920" w:type="dxa"/>
          </w:tcPr>
          <w:p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</w:p>
        </w:tc>
        <w:tc>
          <w:tcPr>
            <w:tcW w:w="881" w:type="dxa"/>
          </w:tcPr>
          <w:p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</w:p>
        </w:tc>
        <w:tc>
          <w:tcPr>
            <w:tcW w:w="851" w:type="dxa"/>
          </w:tcPr>
          <w:p>
            <w:pPr>
              <w:pStyle w:val="2"/>
              <w:ind w:firstLine="210" w:firstLineChars="10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cs="仿宋_GB2312"/>
                <w:sz w:val="21"/>
                <w:szCs w:val="21"/>
              </w:rPr>
              <w:t>—</w:t>
            </w:r>
          </w:p>
        </w:tc>
        <w:tc>
          <w:tcPr>
            <w:tcW w:w="1244" w:type="dxa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992" w:type="dxa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</w:p>
        </w:tc>
        <w:tc>
          <w:tcPr>
            <w:tcW w:w="991" w:type="dxa"/>
            <w:vAlign w:val="center"/>
          </w:tcPr>
          <w:p>
            <w:pPr>
              <w:pStyle w:val="2"/>
              <w:ind w:firstLine="210" w:firstLineChars="10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cs="仿宋_GB2312"/>
                <w:sz w:val="21"/>
                <w:szCs w:val="21"/>
              </w:rPr>
              <w:t>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2012" w:type="dxa"/>
            <w:gridSpan w:val="2"/>
            <w:vAlign w:val="center"/>
          </w:tcPr>
          <w:p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铁路客运量</w:t>
            </w:r>
          </w:p>
        </w:tc>
        <w:tc>
          <w:tcPr>
            <w:tcW w:w="1083" w:type="dxa"/>
          </w:tcPr>
          <w:p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920" w:type="dxa"/>
          </w:tcPr>
          <w:p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</w:p>
        </w:tc>
        <w:tc>
          <w:tcPr>
            <w:tcW w:w="881" w:type="dxa"/>
          </w:tcPr>
          <w:p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</w:p>
        </w:tc>
        <w:tc>
          <w:tcPr>
            <w:tcW w:w="851" w:type="dxa"/>
          </w:tcPr>
          <w:p>
            <w:pPr>
              <w:pStyle w:val="2"/>
              <w:ind w:firstLine="210" w:firstLineChars="10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cs="仿宋_GB2312"/>
                <w:sz w:val="21"/>
                <w:szCs w:val="21"/>
              </w:rPr>
              <w:t>—</w:t>
            </w:r>
          </w:p>
        </w:tc>
        <w:tc>
          <w:tcPr>
            <w:tcW w:w="1244" w:type="dxa"/>
          </w:tcPr>
          <w:p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992" w:type="dxa"/>
          </w:tcPr>
          <w:p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</w:p>
        </w:tc>
        <w:tc>
          <w:tcPr>
            <w:tcW w:w="991" w:type="dxa"/>
            <w:vAlign w:val="center"/>
          </w:tcPr>
          <w:p>
            <w:pPr>
              <w:pStyle w:val="2"/>
              <w:ind w:firstLine="210" w:firstLineChars="10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cs="仿宋_GB2312"/>
                <w:sz w:val="21"/>
                <w:szCs w:val="21"/>
              </w:rPr>
              <w:t>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2" w:type="dxa"/>
            <w:gridSpan w:val="2"/>
            <w:vAlign w:val="center"/>
          </w:tcPr>
          <w:p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民航客运量</w:t>
            </w:r>
          </w:p>
        </w:tc>
        <w:tc>
          <w:tcPr>
            <w:tcW w:w="1083" w:type="dxa"/>
          </w:tcPr>
          <w:p>
            <w:pPr>
              <w:pStyle w:val="2"/>
              <w:ind w:firstLine="0" w:firstLineChars="0"/>
              <w:jc w:val="both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 xml:space="preserve">  </w:t>
            </w:r>
          </w:p>
        </w:tc>
        <w:tc>
          <w:tcPr>
            <w:tcW w:w="920" w:type="dxa"/>
          </w:tcPr>
          <w:p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</w:p>
        </w:tc>
        <w:tc>
          <w:tcPr>
            <w:tcW w:w="881" w:type="dxa"/>
          </w:tcPr>
          <w:p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</w:p>
        </w:tc>
        <w:tc>
          <w:tcPr>
            <w:tcW w:w="851" w:type="dxa"/>
          </w:tcPr>
          <w:p>
            <w:pPr>
              <w:pStyle w:val="2"/>
              <w:ind w:firstLine="210" w:firstLineChars="10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cs="仿宋_GB2312"/>
                <w:sz w:val="21"/>
                <w:szCs w:val="21"/>
              </w:rPr>
              <w:t>—</w:t>
            </w:r>
          </w:p>
        </w:tc>
        <w:tc>
          <w:tcPr>
            <w:tcW w:w="1244" w:type="dxa"/>
          </w:tcPr>
          <w:p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992" w:type="dxa"/>
          </w:tcPr>
          <w:p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</w:p>
        </w:tc>
        <w:tc>
          <w:tcPr>
            <w:tcW w:w="991" w:type="dxa"/>
            <w:vAlign w:val="center"/>
          </w:tcPr>
          <w:p>
            <w:pPr>
              <w:pStyle w:val="2"/>
              <w:ind w:firstLine="210" w:firstLineChars="10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cs="仿宋_GB2312"/>
                <w:sz w:val="21"/>
                <w:szCs w:val="21"/>
              </w:rPr>
              <w:t>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2" w:type="dxa"/>
            <w:gridSpan w:val="2"/>
            <w:vAlign w:val="center"/>
          </w:tcPr>
          <w:p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水路客运量</w:t>
            </w:r>
          </w:p>
        </w:tc>
        <w:tc>
          <w:tcPr>
            <w:tcW w:w="1083" w:type="dxa"/>
          </w:tcPr>
          <w:p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920" w:type="dxa"/>
          </w:tcPr>
          <w:p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</w:p>
        </w:tc>
        <w:tc>
          <w:tcPr>
            <w:tcW w:w="881" w:type="dxa"/>
          </w:tcPr>
          <w:p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</w:p>
        </w:tc>
        <w:tc>
          <w:tcPr>
            <w:tcW w:w="851" w:type="dxa"/>
          </w:tcPr>
          <w:p>
            <w:pPr>
              <w:pStyle w:val="2"/>
              <w:ind w:firstLine="210" w:firstLineChars="10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cs="仿宋_GB2312"/>
                <w:sz w:val="21"/>
                <w:szCs w:val="21"/>
              </w:rPr>
              <w:t>—</w:t>
            </w:r>
          </w:p>
        </w:tc>
        <w:tc>
          <w:tcPr>
            <w:tcW w:w="1244" w:type="dxa"/>
          </w:tcPr>
          <w:p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992" w:type="dxa"/>
          </w:tcPr>
          <w:p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</w:p>
        </w:tc>
        <w:tc>
          <w:tcPr>
            <w:tcW w:w="991" w:type="dxa"/>
            <w:vAlign w:val="center"/>
          </w:tcPr>
          <w:p>
            <w:pPr>
              <w:pStyle w:val="2"/>
              <w:ind w:firstLine="210" w:firstLineChars="10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cs="仿宋_GB2312"/>
                <w:sz w:val="21"/>
                <w:szCs w:val="21"/>
              </w:rPr>
              <w:t>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2" w:type="dxa"/>
            <w:gridSpan w:val="2"/>
            <w:vAlign w:val="center"/>
          </w:tcPr>
          <w:p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总计</w:t>
            </w:r>
          </w:p>
        </w:tc>
        <w:tc>
          <w:tcPr>
            <w:tcW w:w="1083" w:type="dxa"/>
          </w:tcPr>
          <w:p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920" w:type="dxa"/>
          </w:tcPr>
          <w:p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</w:p>
        </w:tc>
        <w:tc>
          <w:tcPr>
            <w:tcW w:w="881" w:type="dxa"/>
          </w:tcPr>
          <w:p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</w:p>
        </w:tc>
        <w:tc>
          <w:tcPr>
            <w:tcW w:w="851" w:type="dxa"/>
          </w:tcPr>
          <w:p>
            <w:pPr>
              <w:pStyle w:val="2"/>
              <w:ind w:firstLine="210" w:firstLineChars="10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cs="仿宋_GB2312"/>
                <w:sz w:val="21"/>
                <w:szCs w:val="21"/>
              </w:rPr>
              <w:t>—</w:t>
            </w:r>
          </w:p>
        </w:tc>
        <w:tc>
          <w:tcPr>
            <w:tcW w:w="1244" w:type="dxa"/>
          </w:tcPr>
          <w:p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992" w:type="dxa"/>
          </w:tcPr>
          <w:p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</w:p>
        </w:tc>
        <w:tc>
          <w:tcPr>
            <w:tcW w:w="991" w:type="dxa"/>
            <w:vAlign w:val="center"/>
          </w:tcPr>
          <w:p>
            <w:pPr>
              <w:pStyle w:val="2"/>
              <w:ind w:firstLine="210" w:firstLineChars="10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cs="仿宋_GB2312"/>
                <w:sz w:val="21"/>
                <w:szCs w:val="21"/>
              </w:rPr>
              <w:t>—</w:t>
            </w:r>
          </w:p>
        </w:tc>
      </w:tr>
    </w:tbl>
    <w:p>
      <w:pPr>
        <w:spacing w:line="240" w:lineRule="auto"/>
        <w:ind w:firstLine="0" w:firstLineChars="0"/>
        <w:rPr>
          <w:rFonts w:hint="eastAsia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roman"/>
    <w:pitch w:val="default"/>
    <w:sig w:usb0="00000000" w:usb1="00000000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D7C"/>
    <w:rsid w:val="000B22FC"/>
    <w:rsid w:val="00123DAA"/>
    <w:rsid w:val="001741BB"/>
    <w:rsid w:val="001A4716"/>
    <w:rsid w:val="00252666"/>
    <w:rsid w:val="003F741C"/>
    <w:rsid w:val="003F7A6E"/>
    <w:rsid w:val="005F22F7"/>
    <w:rsid w:val="00640861"/>
    <w:rsid w:val="00655DDF"/>
    <w:rsid w:val="0068545F"/>
    <w:rsid w:val="00794051"/>
    <w:rsid w:val="00995B3A"/>
    <w:rsid w:val="009C20A4"/>
    <w:rsid w:val="00A02BC8"/>
    <w:rsid w:val="00AE30B0"/>
    <w:rsid w:val="00B20FD6"/>
    <w:rsid w:val="00B25A02"/>
    <w:rsid w:val="00B5648D"/>
    <w:rsid w:val="00B904F8"/>
    <w:rsid w:val="00BC757B"/>
    <w:rsid w:val="00C01D08"/>
    <w:rsid w:val="00C463F1"/>
    <w:rsid w:val="00CE4D7C"/>
    <w:rsid w:val="00D8373E"/>
    <w:rsid w:val="00DB16C8"/>
    <w:rsid w:val="00E43F1F"/>
    <w:rsid w:val="00E44B8B"/>
    <w:rsid w:val="00FF14C9"/>
    <w:rsid w:val="01016CFC"/>
    <w:rsid w:val="011C44BE"/>
    <w:rsid w:val="013B15B2"/>
    <w:rsid w:val="01D8225E"/>
    <w:rsid w:val="01E12763"/>
    <w:rsid w:val="02421D02"/>
    <w:rsid w:val="02770845"/>
    <w:rsid w:val="0321400D"/>
    <w:rsid w:val="03320220"/>
    <w:rsid w:val="034F0B7A"/>
    <w:rsid w:val="040A7E52"/>
    <w:rsid w:val="04A942BA"/>
    <w:rsid w:val="04F25C61"/>
    <w:rsid w:val="05216546"/>
    <w:rsid w:val="05607A03"/>
    <w:rsid w:val="05A54A82"/>
    <w:rsid w:val="05F177D0"/>
    <w:rsid w:val="064A387B"/>
    <w:rsid w:val="06E32AED"/>
    <w:rsid w:val="07144AEC"/>
    <w:rsid w:val="07512DF9"/>
    <w:rsid w:val="077A1F3E"/>
    <w:rsid w:val="078828AD"/>
    <w:rsid w:val="084A7B62"/>
    <w:rsid w:val="0894528B"/>
    <w:rsid w:val="08E458C1"/>
    <w:rsid w:val="08FB7878"/>
    <w:rsid w:val="09216B15"/>
    <w:rsid w:val="09E31ABE"/>
    <w:rsid w:val="09EF37B7"/>
    <w:rsid w:val="09F9539C"/>
    <w:rsid w:val="0A7554C5"/>
    <w:rsid w:val="0AC61D1C"/>
    <w:rsid w:val="0B0E30C9"/>
    <w:rsid w:val="0B136931"/>
    <w:rsid w:val="0B745622"/>
    <w:rsid w:val="0BA6471E"/>
    <w:rsid w:val="0BD460C1"/>
    <w:rsid w:val="0BE55E2C"/>
    <w:rsid w:val="0BEE462D"/>
    <w:rsid w:val="0C3D32A8"/>
    <w:rsid w:val="0D072BD4"/>
    <w:rsid w:val="0D239F67"/>
    <w:rsid w:val="0D2766C4"/>
    <w:rsid w:val="0D923C53"/>
    <w:rsid w:val="0DA33F9D"/>
    <w:rsid w:val="0DD028B8"/>
    <w:rsid w:val="0DF464C0"/>
    <w:rsid w:val="0E157728"/>
    <w:rsid w:val="0E604CB7"/>
    <w:rsid w:val="0E63140E"/>
    <w:rsid w:val="0E794CFD"/>
    <w:rsid w:val="0F44530B"/>
    <w:rsid w:val="0F597FE2"/>
    <w:rsid w:val="0F5B5A64"/>
    <w:rsid w:val="0FBF465C"/>
    <w:rsid w:val="0FFF570F"/>
    <w:rsid w:val="100F2DA4"/>
    <w:rsid w:val="107C119C"/>
    <w:rsid w:val="10B1077E"/>
    <w:rsid w:val="11056D1C"/>
    <w:rsid w:val="11941D32"/>
    <w:rsid w:val="11E84E2D"/>
    <w:rsid w:val="122D3A6C"/>
    <w:rsid w:val="128B14A3"/>
    <w:rsid w:val="12B74BA6"/>
    <w:rsid w:val="130152C1"/>
    <w:rsid w:val="131D2C53"/>
    <w:rsid w:val="132A0811"/>
    <w:rsid w:val="13763F01"/>
    <w:rsid w:val="13DD7ADC"/>
    <w:rsid w:val="13ED7D0B"/>
    <w:rsid w:val="14025795"/>
    <w:rsid w:val="14A625C4"/>
    <w:rsid w:val="14DA16AC"/>
    <w:rsid w:val="154020D1"/>
    <w:rsid w:val="1574621E"/>
    <w:rsid w:val="157C32FD"/>
    <w:rsid w:val="16623428"/>
    <w:rsid w:val="16873D30"/>
    <w:rsid w:val="16884528"/>
    <w:rsid w:val="16E62DCC"/>
    <w:rsid w:val="16EA2C3C"/>
    <w:rsid w:val="172872C1"/>
    <w:rsid w:val="17622F8B"/>
    <w:rsid w:val="176B7B12"/>
    <w:rsid w:val="17822E75"/>
    <w:rsid w:val="17C92852"/>
    <w:rsid w:val="17C96895"/>
    <w:rsid w:val="1831105E"/>
    <w:rsid w:val="183824AD"/>
    <w:rsid w:val="18CB43A7"/>
    <w:rsid w:val="193006AE"/>
    <w:rsid w:val="19392D03"/>
    <w:rsid w:val="19E80F89"/>
    <w:rsid w:val="1A5F4E67"/>
    <w:rsid w:val="1ABF7F3C"/>
    <w:rsid w:val="1B642891"/>
    <w:rsid w:val="1B920B47"/>
    <w:rsid w:val="1BD67285"/>
    <w:rsid w:val="1BD73063"/>
    <w:rsid w:val="1BEE6D2B"/>
    <w:rsid w:val="1C055E22"/>
    <w:rsid w:val="1C136791"/>
    <w:rsid w:val="1C1B5CA4"/>
    <w:rsid w:val="1C8A5C07"/>
    <w:rsid w:val="1D022362"/>
    <w:rsid w:val="1D2843D5"/>
    <w:rsid w:val="1D5A3F4C"/>
    <w:rsid w:val="1DAB29F9"/>
    <w:rsid w:val="1DED6B6E"/>
    <w:rsid w:val="1E1B7B7F"/>
    <w:rsid w:val="1E257EB1"/>
    <w:rsid w:val="1EC0460A"/>
    <w:rsid w:val="1ED92EC9"/>
    <w:rsid w:val="1EE1053D"/>
    <w:rsid w:val="1F28557B"/>
    <w:rsid w:val="1F470DDA"/>
    <w:rsid w:val="1F664E2A"/>
    <w:rsid w:val="202F0AB5"/>
    <w:rsid w:val="20967991"/>
    <w:rsid w:val="20A418E6"/>
    <w:rsid w:val="20C75D9C"/>
    <w:rsid w:val="20E56222"/>
    <w:rsid w:val="20E6069B"/>
    <w:rsid w:val="21384685"/>
    <w:rsid w:val="21F15FD6"/>
    <w:rsid w:val="22105521"/>
    <w:rsid w:val="221B3814"/>
    <w:rsid w:val="22A23C71"/>
    <w:rsid w:val="22AB2EC8"/>
    <w:rsid w:val="22F4309E"/>
    <w:rsid w:val="231E77CA"/>
    <w:rsid w:val="2331574F"/>
    <w:rsid w:val="2346744C"/>
    <w:rsid w:val="2353797E"/>
    <w:rsid w:val="23566BBD"/>
    <w:rsid w:val="23696C97"/>
    <w:rsid w:val="2375790A"/>
    <w:rsid w:val="23C14D25"/>
    <w:rsid w:val="243B1F27"/>
    <w:rsid w:val="243F5C4A"/>
    <w:rsid w:val="2450754A"/>
    <w:rsid w:val="24B34B61"/>
    <w:rsid w:val="2603017A"/>
    <w:rsid w:val="2626463B"/>
    <w:rsid w:val="265440B5"/>
    <w:rsid w:val="266A16A4"/>
    <w:rsid w:val="26D62895"/>
    <w:rsid w:val="275F6D2E"/>
    <w:rsid w:val="27A74232"/>
    <w:rsid w:val="27AB762D"/>
    <w:rsid w:val="27C015C4"/>
    <w:rsid w:val="27CC1EEA"/>
    <w:rsid w:val="287C121A"/>
    <w:rsid w:val="28F6721F"/>
    <w:rsid w:val="29226266"/>
    <w:rsid w:val="29D86DAB"/>
    <w:rsid w:val="29D92078"/>
    <w:rsid w:val="2A2102CB"/>
    <w:rsid w:val="2A230F84"/>
    <w:rsid w:val="2A3C3357"/>
    <w:rsid w:val="2A614116"/>
    <w:rsid w:val="2B3E30FF"/>
    <w:rsid w:val="2BB46F1D"/>
    <w:rsid w:val="2BD55811"/>
    <w:rsid w:val="2BEA12FE"/>
    <w:rsid w:val="2BEA845B"/>
    <w:rsid w:val="2BFA7026"/>
    <w:rsid w:val="2CAE1BBE"/>
    <w:rsid w:val="2CCF04B2"/>
    <w:rsid w:val="2D0B7011"/>
    <w:rsid w:val="2D724EA0"/>
    <w:rsid w:val="2D875092"/>
    <w:rsid w:val="2D944BDF"/>
    <w:rsid w:val="2D960FD0"/>
    <w:rsid w:val="2E0E097F"/>
    <w:rsid w:val="2E9B3506"/>
    <w:rsid w:val="2EF79812"/>
    <w:rsid w:val="2F120B2A"/>
    <w:rsid w:val="2FDD52FF"/>
    <w:rsid w:val="306426CF"/>
    <w:rsid w:val="30B30451"/>
    <w:rsid w:val="30C06EA3"/>
    <w:rsid w:val="30C21616"/>
    <w:rsid w:val="31745184"/>
    <w:rsid w:val="320F1351"/>
    <w:rsid w:val="324E00CB"/>
    <w:rsid w:val="327B0795"/>
    <w:rsid w:val="329D4BAF"/>
    <w:rsid w:val="32D85BE7"/>
    <w:rsid w:val="32EC51EE"/>
    <w:rsid w:val="333406D1"/>
    <w:rsid w:val="33514428"/>
    <w:rsid w:val="3389086E"/>
    <w:rsid w:val="3426571B"/>
    <w:rsid w:val="34631132"/>
    <w:rsid w:val="347D3C16"/>
    <w:rsid w:val="34A60A8F"/>
    <w:rsid w:val="34C617CF"/>
    <w:rsid w:val="34CC172C"/>
    <w:rsid w:val="34D04DC8"/>
    <w:rsid w:val="34D65446"/>
    <w:rsid w:val="34DC6B56"/>
    <w:rsid w:val="351C27B0"/>
    <w:rsid w:val="35463620"/>
    <w:rsid w:val="356E52F9"/>
    <w:rsid w:val="3586192A"/>
    <w:rsid w:val="359704B9"/>
    <w:rsid w:val="35A818A1"/>
    <w:rsid w:val="35B12CA3"/>
    <w:rsid w:val="35B65651"/>
    <w:rsid w:val="362E0055"/>
    <w:rsid w:val="363479F9"/>
    <w:rsid w:val="368BE253"/>
    <w:rsid w:val="37084906"/>
    <w:rsid w:val="3733163E"/>
    <w:rsid w:val="373C4996"/>
    <w:rsid w:val="37702E4C"/>
    <w:rsid w:val="377D07A0"/>
    <w:rsid w:val="37AB5A01"/>
    <w:rsid w:val="3809239F"/>
    <w:rsid w:val="38233460"/>
    <w:rsid w:val="3839635A"/>
    <w:rsid w:val="389D4D5A"/>
    <w:rsid w:val="39F64F4C"/>
    <w:rsid w:val="3A2A0455"/>
    <w:rsid w:val="3A643621"/>
    <w:rsid w:val="3A802DEC"/>
    <w:rsid w:val="3AAD1707"/>
    <w:rsid w:val="3ABA5BEF"/>
    <w:rsid w:val="3B762441"/>
    <w:rsid w:val="3B984165"/>
    <w:rsid w:val="3C157564"/>
    <w:rsid w:val="3C3814A4"/>
    <w:rsid w:val="3C3E1C3D"/>
    <w:rsid w:val="3C642299"/>
    <w:rsid w:val="3C872824"/>
    <w:rsid w:val="3D235930"/>
    <w:rsid w:val="3D3D4FC4"/>
    <w:rsid w:val="3D932E36"/>
    <w:rsid w:val="3DC76F84"/>
    <w:rsid w:val="3DE37141"/>
    <w:rsid w:val="3E6E73FF"/>
    <w:rsid w:val="3EBDC28C"/>
    <w:rsid w:val="3FAEBA5E"/>
    <w:rsid w:val="3FBD23EC"/>
    <w:rsid w:val="3FC1012F"/>
    <w:rsid w:val="3FCCABA6"/>
    <w:rsid w:val="401F6642"/>
    <w:rsid w:val="406B1E48"/>
    <w:rsid w:val="40D77F71"/>
    <w:rsid w:val="41243B62"/>
    <w:rsid w:val="41344930"/>
    <w:rsid w:val="41723033"/>
    <w:rsid w:val="419A5346"/>
    <w:rsid w:val="41D13F2D"/>
    <w:rsid w:val="422B7664"/>
    <w:rsid w:val="4251319F"/>
    <w:rsid w:val="42795B9E"/>
    <w:rsid w:val="429C09DF"/>
    <w:rsid w:val="432E677A"/>
    <w:rsid w:val="437F6B26"/>
    <w:rsid w:val="43CB77AB"/>
    <w:rsid w:val="43DF8E2D"/>
    <w:rsid w:val="44FA19ED"/>
    <w:rsid w:val="45774DEB"/>
    <w:rsid w:val="457C2064"/>
    <w:rsid w:val="45AA2A3E"/>
    <w:rsid w:val="45AC2937"/>
    <w:rsid w:val="45C00F5E"/>
    <w:rsid w:val="45DD5596"/>
    <w:rsid w:val="45EF8C39"/>
    <w:rsid w:val="46082EA1"/>
    <w:rsid w:val="464473C4"/>
    <w:rsid w:val="46481360"/>
    <w:rsid w:val="47357606"/>
    <w:rsid w:val="479B74B7"/>
    <w:rsid w:val="47B277ED"/>
    <w:rsid w:val="47EE1091"/>
    <w:rsid w:val="485B6C46"/>
    <w:rsid w:val="48636EBA"/>
    <w:rsid w:val="487A3570"/>
    <w:rsid w:val="488241D3"/>
    <w:rsid w:val="4956775D"/>
    <w:rsid w:val="499042B6"/>
    <w:rsid w:val="4A301A0D"/>
    <w:rsid w:val="4AB443EC"/>
    <w:rsid w:val="4AEFEEAA"/>
    <w:rsid w:val="4B1A06F3"/>
    <w:rsid w:val="4B1F03FF"/>
    <w:rsid w:val="4B683B54"/>
    <w:rsid w:val="4BCD4BF1"/>
    <w:rsid w:val="4C26756B"/>
    <w:rsid w:val="4C685E64"/>
    <w:rsid w:val="4C6D6250"/>
    <w:rsid w:val="4C7E6F74"/>
    <w:rsid w:val="4CF86A70"/>
    <w:rsid w:val="4CFF2296"/>
    <w:rsid w:val="4DA02D35"/>
    <w:rsid w:val="4E061402"/>
    <w:rsid w:val="4E467A51"/>
    <w:rsid w:val="4E760336"/>
    <w:rsid w:val="4EB74C92"/>
    <w:rsid w:val="4F133DD7"/>
    <w:rsid w:val="4F7B76E2"/>
    <w:rsid w:val="4FB960DD"/>
    <w:rsid w:val="4FD07F1A"/>
    <w:rsid w:val="4FE84275"/>
    <w:rsid w:val="4FFD7CEE"/>
    <w:rsid w:val="50116D73"/>
    <w:rsid w:val="50704B6B"/>
    <w:rsid w:val="50A84D1B"/>
    <w:rsid w:val="50ED42B9"/>
    <w:rsid w:val="50F01093"/>
    <w:rsid w:val="518E3BE9"/>
    <w:rsid w:val="51C770FB"/>
    <w:rsid w:val="51E03964"/>
    <w:rsid w:val="521560B8"/>
    <w:rsid w:val="5244328C"/>
    <w:rsid w:val="524E0A8D"/>
    <w:rsid w:val="52546BE0"/>
    <w:rsid w:val="52CE57B0"/>
    <w:rsid w:val="52FE4A0F"/>
    <w:rsid w:val="531E0F9C"/>
    <w:rsid w:val="5378497F"/>
    <w:rsid w:val="53E820AB"/>
    <w:rsid w:val="53FF6213"/>
    <w:rsid w:val="54413194"/>
    <w:rsid w:val="54613615"/>
    <w:rsid w:val="5495528E"/>
    <w:rsid w:val="54EA7388"/>
    <w:rsid w:val="54F63F7F"/>
    <w:rsid w:val="55086EF9"/>
    <w:rsid w:val="5514671A"/>
    <w:rsid w:val="55EC35D4"/>
    <w:rsid w:val="55F304BE"/>
    <w:rsid w:val="56095F34"/>
    <w:rsid w:val="56242D6E"/>
    <w:rsid w:val="562763BA"/>
    <w:rsid w:val="563B5A15"/>
    <w:rsid w:val="56424281"/>
    <w:rsid w:val="56764C4B"/>
    <w:rsid w:val="56E64CA7"/>
    <w:rsid w:val="572E1C98"/>
    <w:rsid w:val="57353390"/>
    <w:rsid w:val="57454278"/>
    <w:rsid w:val="577B2E97"/>
    <w:rsid w:val="57AB0425"/>
    <w:rsid w:val="57B70A57"/>
    <w:rsid w:val="57E73EFA"/>
    <w:rsid w:val="57E75E01"/>
    <w:rsid w:val="580616AE"/>
    <w:rsid w:val="581B231E"/>
    <w:rsid w:val="583447A8"/>
    <w:rsid w:val="584119B5"/>
    <w:rsid w:val="58B63D67"/>
    <w:rsid w:val="5940227C"/>
    <w:rsid w:val="59D6437F"/>
    <w:rsid w:val="5AAE70AA"/>
    <w:rsid w:val="5ADA39FB"/>
    <w:rsid w:val="5AEB9BAC"/>
    <w:rsid w:val="5AF660CA"/>
    <w:rsid w:val="5B996A6B"/>
    <w:rsid w:val="5BAD63D4"/>
    <w:rsid w:val="5BFB631F"/>
    <w:rsid w:val="5C0F5422"/>
    <w:rsid w:val="5C2C0A0E"/>
    <w:rsid w:val="5C3F26AF"/>
    <w:rsid w:val="5C976561"/>
    <w:rsid w:val="5D8A5BAC"/>
    <w:rsid w:val="5D8D11F8"/>
    <w:rsid w:val="5DAB7804"/>
    <w:rsid w:val="5E5341F0"/>
    <w:rsid w:val="5E7DF735"/>
    <w:rsid w:val="5E7F3237"/>
    <w:rsid w:val="5E86196F"/>
    <w:rsid w:val="5F4A94A4"/>
    <w:rsid w:val="5F5C53FD"/>
    <w:rsid w:val="5F6A1143"/>
    <w:rsid w:val="5F7A33F6"/>
    <w:rsid w:val="5F9F1B4D"/>
    <w:rsid w:val="5FD9A0A7"/>
    <w:rsid w:val="5FF5B0A7"/>
    <w:rsid w:val="5FFE462F"/>
    <w:rsid w:val="600B149F"/>
    <w:rsid w:val="60103202"/>
    <w:rsid w:val="602742D8"/>
    <w:rsid w:val="603C6EC1"/>
    <w:rsid w:val="61240BF5"/>
    <w:rsid w:val="6139505C"/>
    <w:rsid w:val="61483DB4"/>
    <w:rsid w:val="615C785F"/>
    <w:rsid w:val="617F52FC"/>
    <w:rsid w:val="62652744"/>
    <w:rsid w:val="62753841"/>
    <w:rsid w:val="62807A86"/>
    <w:rsid w:val="630E1F46"/>
    <w:rsid w:val="6311467A"/>
    <w:rsid w:val="63827325"/>
    <w:rsid w:val="63957059"/>
    <w:rsid w:val="6424218B"/>
    <w:rsid w:val="647153D0"/>
    <w:rsid w:val="647E5D3F"/>
    <w:rsid w:val="64C5396E"/>
    <w:rsid w:val="65180DC6"/>
    <w:rsid w:val="657B10C3"/>
    <w:rsid w:val="658B0713"/>
    <w:rsid w:val="659D0447"/>
    <w:rsid w:val="65B8702E"/>
    <w:rsid w:val="65FA13F5"/>
    <w:rsid w:val="663012BB"/>
    <w:rsid w:val="667271DD"/>
    <w:rsid w:val="66E63727"/>
    <w:rsid w:val="670E377F"/>
    <w:rsid w:val="674F15DA"/>
    <w:rsid w:val="67605463"/>
    <w:rsid w:val="6798E246"/>
    <w:rsid w:val="67E609E7"/>
    <w:rsid w:val="67EE9B9F"/>
    <w:rsid w:val="68163EEA"/>
    <w:rsid w:val="682E35D8"/>
    <w:rsid w:val="683F25DB"/>
    <w:rsid w:val="68AF4719"/>
    <w:rsid w:val="68DD74D8"/>
    <w:rsid w:val="696C5805"/>
    <w:rsid w:val="699A7177"/>
    <w:rsid w:val="6A002D52"/>
    <w:rsid w:val="6A0C51A5"/>
    <w:rsid w:val="6A436DE1"/>
    <w:rsid w:val="6A644718"/>
    <w:rsid w:val="6B157A1A"/>
    <w:rsid w:val="6B440D6F"/>
    <w:rsid w:val="6BBF7483"/>
    <w:rsid w:val="6BC04C0A"/>
    <w:rsid w:val="6BCF3B13"/>
    <w:rsid w:val="6BEB1F0C"/>
    <w:rsid w:val="6BF73EAB"/>
    <w:rsid w:val="6C046B2A"/>
    <w:rsid w:val="6C731F01"/>
    <w:rsid w:val="6CE32BE3"/>
    <w:rsid w:val="6D5DBAD1"/>
    <w:rsid w:val="6D681EAE"/>
    <w:rsid w:val="6D97577B"/>
    <w:rsid w:val="6DAB5E2E"/>
    <w:rsid w:val="6DC72505"/>
    <w:rsid w:val="6DD54C21"/>
    <w:rsid w:val="6DFF6C9A"/>
    <w:rsid w:val="6E164360"/>
    <w:rsid w:val="6EC50A39"/>
    <w:rsid w:val="6ECF78C3"/>
    <w:rsid w:val="6EE127E5"/>
    <w:rsid w:val="6EEF55FE"/>
    <w:rsid w:val="6EFC7F8C"/>
    <w:rsid w:val="6F4357E6"/>
    <w:rsid w:val="6F5C6C7D"/>
    <w:rsid w:val="6F9A2108"/>
    <w:rsid w:val="6F9F5FAD"/>
    <w:rsid w:val="6FE4739E"/>
    <w:rsid w:val="6FF6034F"/>
    <w:rsid w:val="6FFD440B"/>
    <w:rsid w:val="708B7819"/>
    <w:rsid w:val="70980188"/>
    <w:rsid w:val="70B14DA6"/>
    <w:rsid w:val="70D56DD2"/>
    <w:rsid w:val="713F0A34"/>
    <w:rsid w:val="717FB45D"/>
    <w:rsid w:val="7180552F"/>
    <w:rsid w:val="7188026F"/>
    <w:rsid w:val="71B94416"/>
    <w:rsid w:val="71C96872"/>
    <w:rsid w:val="71F907B3"/>
    <w:rsid w:val="73092C77"/>
    <w:rsid w:val="732A78A1"/>
    <w:rsid w:val="73410663"/>
    <w:rsid w:val="737D375C"/>
    <w:rsid w:val="73D7B9D8"/>
    <w:rsid w:val="73DFDA21"/>
    <w:rsid w:val="73EFBDC4"/>
    <w:rsid w:val="74274501"/>
    <w:rsid w:val="74640AAD"/>
    <w:rsid w:val="74890514"/>
    <w:rsid w:val="74A45FC7"/>
    <w:rsid w:val="75167AAC"/>
    <w:rsid w:val="75491A51"/>
    <w:rsid w:val="76D10105"/>
    <w:rsid w:val="771B2BD1"/>
    <w:rsid w:val="77536BB7"/>
    <w:rsid w:val="777E5A43"/>
    <w:rsid w:val="77A37615"/>
    <w:rsid w:val="77AFF3A5"/>
    <w:rsid w:val="77E12415"/>
    <w:rsid w:val="77F9775E"/>
    <w:rsid w:val="7805064B"/>
    <w:rsid w:val="780F0D30"/>
    <w:rsid w:val="78112CFA"/>
    <w:rsid w:val="78801C2E"/>
    <w:rsid w:val="78A24148"/>
    <w:rsid w:val="78B6561E"/>
    <w:rsid w:val="78FE5765"/>
    <w:rsid w:val="795E11AA"/>
    <w:rsid w:val="797F5A41"/>
    <w:rsid w:val="799F4335"/>
    <w:rsid w:val="79B66FA9"/>
    <w:rsid w:val="79B77010"/>
    <w:rsid w:val="79D73E48"/>
    <w:rsid w:val="79F3459F"/>
    <w:rsid w:val="7A6A088D"/>
    <w:rsid w:val="7A7332CC"/>
    <w:rsid w:val="7A771C53"/>
    <w:rsid w:val="7AB117F0"/>
    <w:rsid w:val="7B1E74DC"/>
    <w:rsid w:val="7B267DFA"/>
    <w:rsid w:val="7B385380"/>
    <w:rsid w:val="7B967D48"/>
    <w:rsid w:val="7BAF8DED"/>
    <w:rsid w:val="7BB7E66B"/>
    <w:rsid w:val="7BC35EBB"/>
    <w:rsid w:val="7BC71922"/>
    <w:rsid w:val="7BDC1ED9"/>
    <w:rsid w:val="7BFCF348"/>
    <w:rsid w:val="7C294F47"/>
    <w:rsid w:val="7CA00D69"/>
    <w:rsid w:val="7CB77BE8"/>
    <w:rsid w:val="7CD6006E"/>
    <w:rsid w:val="7CFFB3F2"/>
    <w:rsid w:val="7D146C29"/>
    <w:rsid w:val="7D592A4D"/>
    <w:rsid w:val="7D60CC9C"/>
    <w:rsid w:val="7D697134"/>
    <w:rsid w:val="7D717D97"/>
    <w:rsid w:val="7D753146"/>
    <w:rsid w:val="7D7F361B"/>
    <w:rsid w:val="7D7F5DF2"/>
    <w:rsid w:val="7D983576"/>
    <w:rsid w:val="7DF366E4"/>
    <w:rsid w:val="7E3A287F"/>
    <w:rsid w:val="7E5A082B"/>
    <w:rsid w:val="7E7BE929"/>
    <w:rsid w:val="7E8E63B9"/>
    <w:rsid w:val="7E957AB5"/>
    <w:rsid w:val="7ED1449D"/>
    <w:rsid w:val="7EDC955E"/>
    <w:rsid w:val="7EFE5380"/>
    <w:rsid w:val="7EFFE763"/>
    <w:rsid w:val="7F101764"/>
    <w:rsid w:val="7F2D3532"/>
    <w:rsid w:val="7F79928D"/>
    <w:rsid w:val="7F7D07DF"/>
    <w:rsid w:val="7F7F997D"/>
    <w:rsid w:val="7FB53E8B"/>
    <w:rsid w:val="7FCFDA5E"/>
    <w:rsid w:val="7FD85EAB"/>
    <w:rsid w:val="7FDBA3E2"/>
    <w:rsid w:val="7FDE1AD7"/>
    <w:rsid w:val="7FE25F44"/>
    <w:rsid w:val="7FFC1BD5"/>
    <w:rsid w:val="7FFD5045"/>
    <w:rsid w:val="8BFBF6E4"/>
    <w:rsid w:val="977FDC62"/>
    <w:rsid w:val="97F66E83"/>
    <w:rsid w:val="9F744B45"/>
    <w:rsid w:val="A3EF68B1"/>
    <w:rsid w:val="A7BCC913"/>
    <w:rsid w:val="A7C56BCA"/>
    <w:rsid w:val="AF3D83F4"/>
    <w:rsid w:val="B177BD83"/>
    <w:rsid w:val="B3FEB9D6"/>
    <w:rsid w:val="B7FB593C"/>
    <w:rsid w:val="B99F1C89"/>
    <w:rsid w:val="BBE72139"/>
    <w:rsid w:val="BBE7EBF0"/>
    <w:rsid w:val="BBF620AF"/>
    <w:rsid w:val="BDFB885C"/>
    <w:rsid w:val="BE9D8F42"/>
    <w:rsid w:val="BEE91924"/>
    <w:rsid w:val="BF2E30DC"/>
    <w:rsid w:val="BFDF675C"/>
    <w:rsid w:val="BFFFB3DF"/>
    <w:rsid w:val="BFFFD5A7"/>
    <w:rsid w:val="C6EFAB15"/>
    <w:rsid w:val="CD7FC50D"/>
    <w:rsid w:val="CDFFC707"/>
    <w:rsid w:val="CF2E2F80"/>
    <w:rsid w:val="CF771351"/>
    <w:rsid w:val="D45EE01E"/>
    <w:rsid w:val="D4EF30CB"/>
    <w:rsid w:val="D75CFE97"/>
    <w:rsid w:val="D78F6D9E"/>
    <w:rsid w:val="D7EF411F"/>
    <w:rsid w:val="DAEAF71C"/>
    <w:rsid w:val="DDFBBE27"/>
    <w:rsid w:val="DEB7612C"/>
    <w:rsid w:val="DF9F8299"/>
    <w:rsid w:val="DFB26997"/>
    <w:rsid w:val="DFDF5F1B"/>
    <w:rsid w:val="DFE26361"/>
    <w:rsid w:val="E7DB1A1F"/>
    <w:rsid w:val="E8BB13EA"/>
    <w:rsid w:val="EB72F9FE"/>
    <w:rsid w:val="ECF9DB2B"/>
    <w:rsid w:val="EE6B4312"/>
    <w:rsid w:val="EEEBB80C"/>
    <w:rsid w:val="EF6D0459"/>
    <w:rsid w:val="EFABD7C2"/>
    <w:rsid w:val="EFB0FE06"/>
    <w:rsid w:val="EFEBCE73"/>
    <w:rsid w:val="EFF9578A"/>
    <w:rsid w:val="F1FD7B16"/>
    <w:rsid w:val="F3FE8BF0"/>
    <w:rsid w:val="F4FF5710"/>
    <w:rsid w:val="F5A76AB9"/>
    <w:rsid w:val="F5B7A8AF"/>
    <w:rsid w:val="F6BEB6AC"/>
    <w:rsid w:val="F73BA81A"/>
    <w:rsid w:val="F756105A"/>
    <w:rsid w:val="F7793B4F"/>
    <w:rsid w:val="F79BCDC6"/>
    <w:rsid w:val="F7BD2216"/>
    <w:rsid w:val="F7CF38C7"/>
    <w:rsid w:val="F7D3087E"/>
    <w:rsid w:val="F7EEF116"/>
    <w:rsid w:val="F7F87A97"/>
    <w:rsid w:val="F9D94C18"/>
    <w:rsid w:val="FAD2A7D3"/>
    <w:rsid w:val="FAFAF195"/>
    <w:rsid w:val="FBF79394"/>
    <w:rsid w:val="FBFFF889"/>
    <w:rsid w:val="FCFF114D"/>
    <w:rsid w:val="FD9F8D58"/>
    <w:rsid w:val="FDC46787"/>
    <w:rsid w:val="FE67E67E"/>
    <w:rsid w:val="FEFBA89E"/>
    <w:rsid w:val="FEFC4B36"/>
    <w:rsid w:val="FF984814"/>
    <w:rsid w:val="FFD761E4"/>
    <w:rsid w:val="FFD78A43"/>
    <w:rsid w:val="FFDF7DA1"/>
    <w:rsid w:val="FFE11F80"/>
    <w:rsid w:val="FFEE15AE"/>
    <w:rsid w:val="FFEEEE95"/>
    <w:rsid w:val="FFF7405E"/>
    <w:rsid w:val="FFF76F3C"/>
    <w:rsid w:val="FFFBD45A"/>
    <w:rsid w:val="FFFF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paragraph" w:styleId="3">
    <w:name w:val="heading 1"/>
    <w:next w:val="1"/>
    <w:link w:val="19"/>
    <w:qFormat/>
    <w:uiPriority w:val="0"/>
    <w:pPr>
      <w:keepNext/>
      <w:keepLines/>
      <w:spacing w:line="560" w:lineRule="exact"/>
      <w:ind w:firstLine="482" w:firstLineChars="200"/>
      <w:outlineLvl w:val="0"/>
    </w:pPr>
    <w:rPr>
      <w:rFonts w:ascii="黑体" w:hAnsi="黑体" w:eastAsia="黑体" w:cstheme="minorBidi"/>
      <w:kern w:val="44"/>
      <w:sz w:val="32"/>
      <w:lang w:val="en-US" w:eastAsia="zh-CN" w:bidi="ar-SA"/>
    </w:rPr>
  </w:style>
  <w:style w:type="paragraph" w:styleId="4">
    <w:name w:val="heading 2"/>
    <w:next w:val="1"/>
    <w:semiHidden/>
    <w:unhideWhenUsed/>
    <w:qFormat/>
    <w:uiPriority w:val="0"/>
    <w:pPr>
      <w:keepNext/>
      <w:keepLines/>
      <w:spacing w:line="560" w:lineRule="exact"/>
      <w:ind w:firstLine="482" w:firstLineChars="200"/>
      <w:outlineLvl w:val="1"/>
    </w:pPr>
    <w:rPr>
      <w:rFonts w:ascii="楷体_GB2312" w:hAnsi="楷体_GB2312" w:eastAsia="楷体_GB2312" w:cstheme="minorBidi"/>
      <w:sz w:val="32"/>
      <w:lang w:val="en-US" w:eastAsia="zh-CN" w:bidi="ar-SA"/>
    </w:rPr>
  </w:style>
  <w:style w:type="paragraph" w:styleId="5">
    <w:name w:val="heading 3"/>
    <w:next w:val="1"/>
    <w:semiHidden/>
    <w:unhideWhenUsed/>
    <w:qFormat/>
    <w:uiPriority w:val="0"/>
    <w:pPr>
      <w:keepNext/>
      <w:keepLines/>
      <w:spacing w:line="560" w:lineRule="exact"/>
      <w:ind w:firstLine="482" w:firstLineChars="200"/>
      <w:outlineLvl w:val="2"/>
    </w:pPr>
    <w:rPr>
      <w:rFonts w:ascii="仿宋_GB2312" w:hAnsi="仿宋_GB2312" w:eastAsia="仿宋_GB2312" w:cstheme="minorBidi"/>
      <w:sz w:val="32"/>
      <w:lang w:val="en-US" w:eastAsia="zh-CN" w:bidi="ar-SA"/>
    </w:rPr>
  </w:style>
  <w:style w:type="paragraph" w:styleId="6">
    <w:name w:val="heading 4"/>
    <w:next w:val="1"/>
    <w:semiHidden/>
    <w:unhideWhenUsed/>
    <w:qFormat/>
    <w:uiPriority w:val="0"/>
    <w:pPr>
      <w:keepNext/>
      <w:keepLines/>
      <w:spacing w:line="560" w:lineRule="exact"/>
      <w:ind w:firstLine="482" w:firstLineChars="200"/>
      <w:outlineLvl w:val="3"/>
    </w:pPr>
    <w:rPr>
      <w:rFonts w:ascii="仿宋_GB2312" w:hAnsi="仿宋_GB2312" w:eastAsia="仿宋_GB2312" w:cstheme="minorBidi"/>
      <w:sz w:val="32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footer"/>
    <w:basedOn w:val="1"/>
    <w:link w:val="2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9">
    <w:name w:val="header"/>
    <w:basedOn w:val="1"/>
    <w:link w:val="20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题目"/>
    <w:qFormat/>
    <w:uiPriority w:val="0"/>
    <w:pPr>
      <w:spacing w:line="560" w:lineRule="exact"/>
      <w:jc w:val="center"/>
    </w:pPr>
    <w:rPr>
      <w:rFonts w:hint="eastAsia" w:ascii="方正小标宋简体" w:hAnsi="方正小标宋简体" w:eastAsia="方正小标宋简体" w:cs="仿宋_GB2312"/>
      <w:sz w:val="44"/>
      <w:szCs w:val="44"/>
      <w:lang w:val="en-US" w:eastAsia="zh-CN" w:bidi="ar-SA"/>
    </w:rPr>
  </w:style>
  <w:style w:type="paragraph" w:customStyle="1" w:styleId="14">
    <w:name w:val="正文表格标题"/>
    <w:qFormat/>
    <w:uiPriority w:val="0"/>
    <w:pPr>
      <w:spacing w:line="560" w:lineRule="exact"/>
      <w:ind w:firstLine="880" w:firstLineChars="200"/>
      <w:jc w:val="both"/>
    </w:pPr>
    <w:rPr>
      <w:rFonts w:hint="eastAsia" w:ascii="仿宋_GB2312" w:hAnsi="仿宋_GB2312" w:eastAsia="仿宋_GB2312" w:cs="宋体"/>
      <w:sz w:val="28"/>
      <w:szCs w:val="28"/>
      <w:lang w:val="en-US" w:eastAsia="zh-CN" w:bidi="ar-SA"/>
    </w:rPr>
  </w:style>
  <w:style w:type="paragraph" w:customStyle="1" w:styleId="15">
    <w:name w:val="表头"/>
    <w:basedOn w:val="1"/>
    <w:qFormat/>
    <w:uiPriority w:val="0"/>
    <w:pPr>
      <w:widowControl/>
      <w:spacing w:line="240" w:lineRule="auto"/>
      <w:ind w:firstLine="0" w:firstLineChars="0"/>
      <w:jc w:val="center"/>
    </w:pPr>
    <w:rPr>
      <w:rFonts w:hint="eastAsia" w:cs="宋体"/>
      <w:b/>
      <w:bCs/>
      <w:sz w:val="28"/>
      <w:szCs w:val="28"/>
    </w:rPr>
  </w:style>
  <w:style w:type="paragraph" w:customStyle="1" w:styleId="16">
    <w:name w:val="附件顶格"/>
    <w:qFormat/>
    <w:uiPriority w:val="0"/>
    <w:pPr>
      <w:spacing w:line="560" w:lineRule="exact"/>
    </w:pPr>
    <w:rPr>
      <w:rFonts w:hint="eastAsia" w:ascii="黑体" w:hAnsi="黑体" w:eastAsia="黑体" w:cs="宋体"/>
      <w:b/>
      <w:bCs/>
      <w:sz w:val="32"/>
      <w:szCs w:val="32"/>
      <w:lang w:val="en-US" w:eastAsia="zh-CN" w:bidi="ar-SA"/>
    </w:rPr>
  </w:style>
  <w:style w:type="paragraph" w:customStyle="1" w:styleId="17">
    <w:name w:val="文章题目"/>
    <w:qFormat/>
    <w:uiPriority w:val="0"/>
    <w:pPr>
      <w:spacing w:line="560" w:lineRule="exact"/>
      <w:jc w:val="both"/>
    </w:pPr>
    <w:rPr>
      <w:rFonts w:hint="eastAsia" w:ascii="方正小标宋简体" w:hAnsi="方正小标宋简体" w:eastAsia="方正小标宋简体" w:cs="宋体"/>
      <w:sz w:val="44"/>
      <w:szCs w:val="44"/>
      <w:lang w:val="en-US" w:eastAsia="zh-CN" w:bidi="ar-SA"/>
    </w:rPr>
  </w:style>
  <w:style w:type="paragraph" w:customStyle="1" w:styleId="18">
    <w:name w:val="正文表格"/>
    <w:qFormat/>
    <w:uiPriority w:val="0"/>
    <w:pPr>
      <w:jc w:val="both"/>
    </w:pPr>
    <w:rPr>
      <w:rFonts w:hint="eastAsia" w:ascii="仿宋_GB2312" w:hAnsi="仿宋_GB2312" w:eastAsia="仿宋_GB2312" w:cs="宋体"/>
      <w:sz w:val="28"/>
      <w:szCs w:val="28"/>
      <w:lang w:val="en-US" w:eastAsia="zh-CN" w:bidi="ar-SA"/>
    </w:rPr>
  </w:style>
  <w:style w:type="character" w:customStyle="1" w:styleId="19">
    <w:name w:val="标题 1 字符"/>
    <w:link w:val="3"/>
    <w:qFormat/>
    <w:uiPriority w:val="0"/>
    <w:rPr>
      <w:rFonts w:ascii="黑体" w:hAnsi="黑体" w:eastAsia="黑体" w:cstheme="minorBidi"/>
      <w:kern w:val="44"/>
      <w:sz w:val="32"/>
    </w:rPr>
  </w:style>
  <w:style w:type="character" w:customStyle="1" w:styleId="20">
    <w:name w:val="页眉 字符"/>
    <w:basedOn w:val="12"/>
    <w:link w:val="9"/>
    <w:qFormat/>
    <w:uiPriority w:val="0"/>
    <w:rPr>
      <w:rFonts w:ascii="仿宋_GB2312" w:hAnsi="仿宋_GB2312" w:eastAsia="仿宋_GB2312" w:cstheme="minorBidi"/>
      <w:kern w:val="2"/>
      <w:sz w:val="18"/>
      <w:szCs w:val="18"/>
    </w:rPr>
  </w:style>
  <w:style w:type="character" w:customStyle="1" w:styleId="21">
    <w:name w:val="页脚 字符"/>
    <w:basedOn w:val="12"/>
    <w:link w:val="8"/>
    <w:qFormat/>
    <w:uiPriority w:val="0"/>
    <w:rPr>
      <w:rFonts w:ascii="仿宋_GB2312" w:hAnsi="仿宋_GB2312" w:eastAsia="仿宋_GB2312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227</Words>
  <Characters>261</Characters>
  <Lines>93</Lines>
  <Paragraphs>71</Paragraphs>
  <TotalTime>5</TotalTime>
  <ScaleCrop>false</ScaleCrop>
  <LinksUpToDate>false</LinksUpToDate>
  <CharactersWithSpaces>301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2026-03-10T14:50:00Z</dcterms:created>
  <dc:creator>黄何</dc:creator>
  <cp:lastModifiedBy>lenovo</cp:lastModifiedBy>
  <cp:lastPrinted>2025-01-10T11:52:00Z</cp:lastPrinted>
  <dcterms:modified xsi:type="dcterms:W3CDTF">2026-09-23T16:18:06Z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D8E31A7ACAC24B728DE4A3AE38F5639E_13</vt:lpwstr>
  </property>
  <property fmtid="{D5CDD505-2E9C-101B-9397-08002B2CF9AE}" pid="4" name="KSOTemplateDocerSaveRecord">
    <vt:lpwstr>eyJoZGlkIjoiMzEwNTM5NzYwMDRjMzkwZTVkZjY2ODkwMGIxNGU0OTUiLCJ1c2VySWQiOiIzNzU3OTAwNTEifQ==</vt:lpwstr>
  </property>
</Properties>
</file>