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60C3B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货运能耗季报，</w:t>
      </w:r>
      <w:r>
        <w:rPr>
          <w:rFonts w:hint="eastAsia"/>
          <w:sz w:val="28"/>
          <w:szCs w:val="28"/>
          <w:lang w:val="en-US" w:eastAsia="zh-CN"/>
        </w:rPr>
        <w:t>有企业车辆季报明细，运政车辆信息，要生成一张表</w:t>
      </w:r>
    </w:p>
    <w:p w14:paraId="55470C8C">
      <w:pPr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4150" cy="2523490"/>
            <wp:effectExtent l="0" t="0" r="889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DAAD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季报审核问题：</w:t>
      </w:r>
    </w:p>
    <w:p w14:paraId="5DB64922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车辆的车辆类型、燃料类型、标记吨位与运政对比，不一致的需核实</w:t>
      </w:r>
    </w:p>
    <w:p w14:paraId="51E35139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载货里程/总行程的值和平均运距/单趟平均里程的值相差±10%，需核实</w:t>
      </w:r>
    </w:p>
    <w:p w14:paraId="3483BA1B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每种燃料类型车的百公里单耗的值超范围，需核实</w:t>
      </w:r>
    </w:p>
    <w:p w14:paraId="6A6C74B0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同一辆车百公里单耗环比相差±50%，需核实</w:t>
      </w:r>
    </w:p>
    <w:p w14:paraId="547C2EC2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同一个企业车辆上报的货运量、货物周转量之和大于企业在货运月报的50%,需核实</w:t>
      </w:r>
    </w:p>
    <w:p w14:paraId="5BA4CA5D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车辆的平均运距与货运月报的平均运距相比，相差±60%，需核实</w:t>
      </w:r>
    </w:p>
    <w:p w14:paraId="3B8A106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7、平均载货吨位/标记吨位，小于0.5或者大于1，需核实</w:t>
      </w:r>
    </w:p>
    <w:p w14:paraId="048C46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7B9447"/>
    <w:multiLevelType w:val="singleLevel"/>
    <w:tmpl w:val="747B94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50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2026-08-25T07:42:08Z</dcterms:created>
  <dc:creator>郑玉洁</dc:creator>
  <cp:lastModifiedBy>WPS_1644490710</cp:lastModifiedBy>
  <dcterms:modified xsi:type="dcterms:W3CDTF">2026-08-25T07:50:04Z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eyJoZGlkIjoiZDZiMGFhNjY0MTZjYTNhMzg1ZDZiOGY2MTIyMTM1MjEiLCJ1c2VySWQiOiIxMzMwMzAxODM5In0=</vt:lpwstr>
  </property>
  <property fmtid="{D5CDD505-2E9C-101B-9397-08002B2CF9AE}" pid="4" name="ICV">
    <vt:lpwstr>B94F3E9FF3C64B18A0D6316068A31001_12</vt:lpwstr>
  </property>
</Properties>
</file>