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4F5C4">
      <w:pPr>
        <w:pStyle w:val="13"/>
        <w:rPr>
          <w:rFonts w:ascii="黑体" w:hAnsi="黑体" w:eastAsia="黑体" w:cs="黑体"/>
        </w:rPr>
      </w:pPr>
      <w:r>
        <w:rPr>
          <w:rFonts w:ascii="黑体" w:hAnsi="黑体" w:eastAsia="黑体" w:cs="黑体"/>
        </w:rPr>
        <w:t>湖北省</w:t>
      </w:r>
      <w:r>
        <w:rPr>
          <w:rFonts w:hint="eastAsia" w:ascii="黑体" w:hAnsi="黑体" w:eastAsia="黑体" w:cs="黑体"/>
          <w:lang w:eastAsia="zh-CN"/>
        </w:rPr>
        <w:t>国庆假期</w:t>
      </w:r>
      <w:r>
        <w:rPr>
          <w:rFonts w:ascii="黑体" w:hAnsi="黑体" w:eastAsia="黑体" w:cs="黑体"/>
        </w:rPr>
        <w:t>综合运输客流快报</w:t>
      </w:r>
    </w:p>
    <w:p w14:paraId="5E740468">
      <w:pPr>
        <w:pStyle w:val="13"/>
        <w:ind w:firstLine="880" w:firstLineChars="200"/>
      </w:pPr>
    </w:p>
    <w:p w14:paraId="15FF1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 w:cs="仿宋_GB2312"/>
          <w:sz w:val="32"/>
          <w:szCs w:val="32"/>
        </w:rPr>
        <w:t>10月</w:t>
      </w:r>
      <w:r>
        <w:rPr>
          <w:rFonts w:hint="eastAsia" w:cs="仿宋_GB2312"/>
          <w:sz w:val="32"/>
          <w:szCs w:val="32"/>
          <w:lang w:val="en-US" w:eastAsia="zh-CN"/>
        </w:rPr>
        <w:t>2</w:t>
      </w:r>
      <w:r>
        <w:rPr>
          <w:rFonts w:hint="eastAsia" w:eastAsia="仿宋_GB2312" w:cs="仿宋_GB2312"/>
          <w:sz w:val="32"/>
          <w:szCs w:val="32"/>
        </w:rPr>
        <w:t>日（假期第</w:t>
      </w:r>
      <w:r>
        <w:rPr>
          <w:rFonts w:hint="eastAsia" w:cs="仿宋_GB2312"/>
          <w:sz w:val="32"/>
          <w:szCs w:val="32"/>
          <w:lang w:val="en-US" w:eastAsia="zh-CN"/>
        </w:rPr>
        <w:t>2</w:t>
      </w:r>
      <w:r>
        <w:rPr>
          <w:rFonts w:hint="eastAsia" w:eastAsia="仿宋_GB2312" w:cs="仿宋_GB2312"/>
          <w:sz w:val="32"/>
          <w:szCs w:val="32"/>
        </w:rPr>
        <w:t>天），全省全社会跨区域人员流动量14</w:t>
      </w:r>
      <w:r>
        <w:rPr>
          <w:rFonts w:hint="eastAsia" w:cs="仿宋_GB2312"/>
          <w:sz w:val="32"/>
          <w:szCs w:val="32"/>
          <w:lang w:val="en-US" w:eastAsia="zh-CN"/>
        </w:rPr>
        <w:t>45</w:t>
      </w:r>
      <w:r>
        <w:rPr>
          <w:rFonts w:hint="eastAsia" w:eastAsia="仿宋_GB2312" w:cs="仿宋_GB2312"/>
          <w:sz w:val="32"/>
          <w:szCs w:val="32"/>
        </w:rPr>
        <w:t>.</w:t>
      </w:r>
      <w:r>
        <w:rPr>
          <w:rFonts w:hint="eastAsia" w:cs="仿宋_GB2312"/>
          <w:sz w:val="32"/>
          <w:szCs w:val="32"/>
          <w:lang w:val="en-US" w:eastAsia="zh-CN"/>
        </w:rPr>
        <w:t>46</w:t>
      </w:r>
      <w:r>
        <w:rPr>
          <w:rFonts w:hint="eastAsia" w:eastAsia="仿宋_GB2312" w:cs="仿宋_GB2312"/>
          <w:sz w:val="32"/>
          <w:szCs w:val="32"/>
        </w:rPr>
        <w:t>万人次，</w:t>
      </w:r>
      <w:r>
        <w:rPr>
          <w:rFonts w:hint="eastAsia" w:cs="仿宋_GB2312"/>
          <w:sz w:val="32"/>
          <w:szCs w:val="32"/>
          <w:lang w:val="en-US" w:eastAsia="zh-CN"/>
        </w:rPr>
        <w:t>环比下降12.0%，</w:t>
      </w:r>
      <w:r>
        <w:rPr>
          <w:rFonts w:hint="eastAsia" w:eastAsia="仿宋_GB2312" w:cs="仿宋_GB2312"/>
          <w:sz w:val="32"/>
          <w:szCs w:val="32"/>
        </w:rPr>
        <w:t>比2025年同期下降</w:t>
      </w:r>
      <w:r>
        <w:rPr>
          <w:rFonts w:hint="eastAsia" w:cs="仿宋_GB2312"/>
          <w:sz w:val="32"/>
          <w:szCs w:val="32"/>
          <w:lang w:val="en-US" w:eastAsia="zh-CN"/>
        </w:rPr>
        <w:t>4</w:t>
      </w:r>
      <w:r>
        <w:rPr>
          <w:rFonts w:hint="eastAsia" w:eastAsia="仿宋_GB2312" w:cs="仿宋_GB2312"/>
          <w:sz w:val="32"/>
          <w:szCs w:val="32"/>
        </w:rPr>
        <w:t>.</w:t>
      </w:r>
      <w:r>
        <w:rPr>
          <w:rFonts w:hint="eastAsia" w:cs="仿宋_GB2312"/>
          <w:sz w:val="32"/>
          <w:szCs w:val="32"/>
          <w:lang w:val="en-US" w:eastAsia="zh-CN"/>
        </w:rPr>
        <w:t>8</w:t>
      </w:r>
      <w:r>
        <w:rPr>
          <w:rFonts w:hint="eastAsia" w:eastAsia="仿宋_GB2312" w:cs="仿宋_GB2312"/>
          <w:sz w:val="32"/>
          <w:szCs w:val="32"/>
        </w:rPr>
        <w:t>%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cs="仿宋_GB2312"/>
          <w:sz w:val="32"/>
          <w:szCs w:val="32"/>
          <w:lang w:val="en-US" w:eastAsia="zh-CN"/>
        </w:rPr>
        <w:t>比2024年同期下降5.7%</w:t>
      </w:r>
      <w:r>
        <w:rPr>
          <w:rFonts w:hint="eastAsia" w:eastAsia="仿宋_GB2312" w:cs="仿宋_GB2312"/>
          <w:sz w:val="32"/>
          <w:szCs w:val="32"/>
        </w:rPr>
        <w:t>。</w:t>
      </w:r>
    </w:p>
    <w:p w14:paraId="11D9F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eastAsia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假期以来，全省全社会跨区域人员流动量累计</w:t>
      </w:r>
      <w:r>
        <w:rPr>
          <w:rFonts w:hint="eastAsia" w:cs="仿宋_GB2312"/>
          <w:sz w:val="32"/>
          <w:szCs w:val="32"/>
          <w:lang w:val="en-US" w:eastAsia="zh-CN"/>
        </w:rPr>
        <w:t>3</w:t>
      </w:r>
      <w:r>
        <w:rPr>
          <w:rFonts w:hint="eastAsia" w:eastAsia="仿宋_GB2312" w:cs="仿宋_GB2312"/>
          <w:sz w:val="32"/>
          <w:szCs w:val="32"/>
        </w:rPr>
        <w:t>0</w:t>
      </w:r>
      <w:r>
        <w:rPr>
          <w:rFonts w:hint="eastAsia" w:cs="仿宋_GB2312"/>
          <w:sz w:val="32"/>
          <w:szCs w:val="32"/>
          <w:lang w:val="en-US" w:eastAsia="zh-CN"/>
        </w:rPr>
        <w:t>88</w:t>
      </w:r>
      <w:r>
        <w:rPr>
          <w:rFonts w:hint="eastAsia" w:eastAsia="仿宋_GB2312" w:cs="仿宋_GB2312"/>
          <w:sz w:val="32"/>
          <w:szCs w:val="32"/>
        </w:rPr>
        <w:t>.</w:t>
      </w:r>
      <w:r>
        <w:rPr>
          <w:rFonts w:hint="eastAsia" w:cs="仿宋_GB2312"/>
          <w:sz w:val="32"/>
          <w:szCs w:val="32"/>
          <w:lang w:val="en-US" w:eastAsia="zh-CN"/>
        </w:rPr>
        <w:t>63万</w:t>
      </w:r>
      <w:bookmarkStart w:id="0" w:name="_GoBack"/>
      <w:bookmarkEnd w:id="0"/>
      <w:r>
        <w:rPr>
          <w:rFonts w:hint="eastAsia" w:eastAsia="仿宋_GB2312" w:cs="仿宋_GB2312"/>
          <w:sz w:val="32"/>
          <w:szCs w:val="32"/>
        </w:rPr>
        <w:t>人次，比2025年同期下降4.</w:t>
      </w:r>
      <w:r>
        <w:rPr>
          <w:rFonts w:hint="eastAsia" w:cs="仿宋_GB2312"/>
          <w:sz w:val="32"/>
          <w:szCs w:val="32"/>
          <w:lang w:val="en-US" w:eastAsia="zh-CN"/>
        </w:rPr>
        <w:t>5</w:t>
      </w:r>
      <w:r>
        <w:rPr>
          <w:rFonts w:hint="eastAsia" w:eastAsia="仿宋_GB2312" w:cs="仿宋_GB2312"/>
          <w:sz w:val="32"/>
          <w:szCs w:val="32"/>
        </w:rPr>
        <w:t>%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hint="eastAsia" w:cs="仿宋_GB2312"/>
          <w:sz w:val="32"/>
          <w:szCs w:val="32"/>
          <w:lang w:val="en-US" w:eastAsia="zh-CN"/>
        </w:rPr>
        <w:t>比2024年同期下降1.6%</w:t>
      </w:r>
      <w:r>
        <w:rPr>
          <w:rFonts w:hint="eastAsia" w:eastAsia="仿宋_GB2312" w:cs="仿宋_GB2312"/>
          <w:sz w:val="32"/>
          <w:szCs w:val="32"/>
        </w:rPr>
        <w:t>。</w:t>
      </w:r>
    </w:p>
    <w:p w14:paraId="62446D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0" w:firstLineChars="0"/>
        <w:jc w:val="center"/>
        <w:textAlignment w:val="auto"/>
        <w:rPr>
          <w:rFonts w:hint="eastAsia" w:cs="仿宋_GB2312"/>
          <w:b/>
          <w:bCs/>
        </w:rPr>
      </w:pPr>
      <w:r>
        <w:rPr>
          <w:rFonts w:hint="eastAsia" w:cs="仿宋_GB2312"/>
          <w:b/>
          <w:bCs/>
          <w:lang w:val="en-US" w:eastAsia="zh-CN"/>
        </w:rPr>
        <w:t>国庆假期</w:t>
      </w:r>
      <w:r>
        <w:rPr>
          <w:rFonts w:hint="eastAsia" w:cs="仿宋_GB2312"/>
          <w:b/>
          <w:bCs/>
        </w:rPr>
        <w:t>分运输方式客流情况</w:t>
      </w:r>
    </w:p>
    <w:p w14:paraId="495F6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/>
        <w:jc w:val="left"/>
        <w:textAlignment w:val="auto"/>
        <w:rPr>
          <w:rFonts w:hint="eastAsia"/>
        </w:rPr>
      </w:pPr>
      <w:r>
        <w:rPr>
          <w:rFonts w:hint="eastAsia" w:cs="仿宋_GB2312"/>
          <w:b/>
          <w:bCs/>
        </w:rPr>
        <w:t xml:space="preserve">                                      </w:t>
      </w:r>
      <w:r>
        <w:rPr>
          <w:rFonts w:hint="eastAsia" w:cs="仿宋_GB2312"/>
          <w:b/>
          <w:bCs/>
          <w:sz w:val="24"/>
        </w:rPr>
        <w:t>单位：万人次</w:t>
      </w:r>
    </w:p>
    <w:tbl>
      <w:tblPr>
        <w:tblStyle w:val="11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50"/>
        <w:gridCol w:w="1083"/>
        <w:gridCol w:w="920"/>
        <w:gridCol w:w="944"/>
        <w:gridCol w:w="945"/>
        <w:gridCol w:w="1087"/>
        <w:gridCol w:w="992"/>
        <w:gridCol w:w="991"/>
      </w:tblGrid>
      <w:tr w14:paraId="3D30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012" w:type="dxa"/>
            <w:gridSpan w:val="2"/>
            <w:vMerge w:val="restart"/>
            <w:vAlign w:val="center"/>
          </w:tcPr>
          <w:p w14:paraId="565B7A68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分运输</w:t>
            </w:r>
          </w:p>
          <w:p w14:paraId="375F0EAD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方式</w:t>
            </w:r>
          </w:p>
        </w:tc>
        <w:tc>
          <w:tcPr>
            <w:tcW w:w="3892" w:type="dxa"/>
            <w:gridSpan w:val="4"/>
            <w:vAlign w:val="center"/>
          </w:tcPr>
          <w:p w14:paraId="302843C6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当日数据</w:t>
            </w:r>
          </w:p>
        </w:tc>
        <w:tc>
          <w:tcPr>
            <w:tcW w:w="3070" w:type="dxa"/>
            <w:gridSpan w:val="3"/>
            <w:vAlign w:val="center"/>
          </w:tcPr>
          <w:p w14:paraId="1019D31F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累计数据</w:t>
            </w:r>
          </w:p>
        </w:tc>
      </w:tr>
      <w:tr w14:paraId="55C4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012" w:type="dxa"/>
            <w:gridSpan w:val="2"/>
            <w:vMerge w:val="continue"/>
            <w:vAlign w:val="center"/>
          </w:tcPr>
          <w:p w14:paraId="5EC349E5">
            <w:pPr>
              <w:pStyle w:val="2"/>
              <w:ind w:firstLine="0" w:firstLineChars="0"/>
              <w:jc w:val="center"/>
              <w:rPr>
                <w:rFonts w:hint="eastAsia" w:cs="仿宋_GB2312"/>
                <w:sz w:val="24"/>
              </w:rPr>
            </w:pPr>
          </w:p>
        </w:tc>
        <w:tc>
          <w:tcPr>
            <w:tcW w:w="1083" w:type="dxa"/>
            <w:vAlign w:val="center"/>
          </w:tcPr>
          <w:p w14:paraId="2FA9EA8B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  <w:p w14:paraId="5E322FC5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当日</w:t>
            </w:r>
          </w:p>
          <w:p w14:paraId="743D634B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</w:tc>
        <w:tc>
          <w:tcPr>
            <w:tcW w:w="920" w:type="dxa"/>
            <w:vAlign w:val="center"/>
          </w:tcPr>
          <w:p w14:paraId="1FD62D7E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环比</w:t>
            </w:r>
          </w:p>
        </w:tc>
        <w:tc>
          <w:tcPr>
            <w:tcW w:w="944" w:type="dxa"/>
            <w:vAlign w:val="center"/>
          </w:tcPr>
          <w:p w14:paraId="11785B89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同比2025年</w:t>
            </w:r>
          </w:p>
        </w:tc>
        <w:tc>
          <w:tcPr>
            <w:tcW w:w="945" w:type="dxa"/>
            <w:vAlign w:val="center"/>
          </w:tcPr>
          <w:p w14:paraId="2CB33614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同比2024年</w:t>
            </w:r>
          </w:p>
        </w:tc>
        <w:tc>
          <w:tcPr>
            <w:tcW w:w="1087" w:type="dxa"/>
            <w:vAlign w:val="center"/>
          </w:tcPr>
          <w:p w14:paraId="663CCEE0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累计</w:t>
            </w:r>
          </w:p>
        </w:tc>
        <w:tc>
          <w:tcPr>
            <w:tcW w:w="992" w:type="dxa"/>
            <w:vAlign w:val="center"/>
          </w:tcPr>
          <w:p w14:paraId="3B0AE2D4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同比2025年</w:t>
            </w:r>
          </w:p>
        </w:tc>
        <w:tc>
          <w:tcPr>
            <w:tcW w:w="991" w:type="dxa"/>
            <w:vAlign w:val="center"/>
          </w:tcPr>
          <w:p w14:paraId="51918552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同比2024年</w:t>
            </w:r>
          </w:p>
        </w:tc>
      </w:tr>
      <w:tr w14:paraId="7B84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562" w:type="dxa"/>
            <w:vMerge w:val="restart"/>
            <w:vAlign w:val="center"/>
          </w:tcPr>
          <w:p w14:paraId="593489E5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公路人员流动量</w:t>
            </w:r>
          </w:p>
        </w:tc>
        <w:tc>
          <w:tcPr>
            <w:tcW w:w="1450" w:type="dxa"/>
            <w:vAlign w:val="center"/>
          </w:tcPr>
          <w:p w14:paraId="1927CABB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高速公路及普通国省道非营业性小客车人员出行量</w:t>
            </w:r>
          </w:p>
        </w:tc>
        <w:tc>
          <w:tcPr>
            <w:tcW w:w="1083" w:type="dxa"/>
            <w:vAlign w:val="center"/>
          </w:tcPr>
          <w:p w14:paraId="5EA28178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1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278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920" w:type="dxa"/>
            <w:vAlign w:val="center"/>
          </w:tcPr>
          <w:p w14:paraId="0EFB363F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-11.4%</w:t>
            </w:r>
          </w:p>
        </w:tc>
        <w:tc>
          <w:tcPr>
            <w:tcW w:w="944" w:type="dxa"/>
            <w:vAlign w:val="center"/>
          </w:tcPr>
          <w:p w14:paraId="1CA31BE0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5" w:type="dxa"/>
            <w:vAlign w:val="center"/>
          </w:tcPr>
          <w:p w14:paraId="79712F94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-6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1087" w:type="dxa"/>
            <w:vAlign w:val="center"/>
          </w:tcPr>
          <w:p w14:paraId="3525D648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2720.61</w:t>
            </w:r>
          </w:p>
        </w:tc>
        <w:tc>
          <w:tcPr>
            <w:tcW w:w="992" w:type="dxa"/>
            <w:vAlign w:val="center"/>
          </w:tcPr>
          <w:p w14:paraId="4FD7CA22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-4.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440BDB04">
            <w:pPr>
              <w:pStyle w:val="2"/>
              <w:ind w:firstLine="210" w:firstLineChars="100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-2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  <w:tr w14:paraId="3970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562" w:type="dxa"/>
            <w:vMerge w:val="continue"/>
            <w:vAlign w:val="center"/>
          </w:tcPr>
          <w:p w14:paraId="3520C265">
            <w:pPr>
              <w:pStyle w:val="2"/>
              <w:spacing w:line="360" w:lineRule="exact"/>
              <w:ind w:firstLine="482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48CC9298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公路营业性客运量</w:t>
            </w:r>
          </w:p>
        </w:tc>
        <w:tc>
          <w:tcPr>
            <w:tcW w:w="1083" w:type="dxa"/>
            <w:vAlign w:val="center"/>
          </w:tcPr>
          <w:p w14:paraId="6915A511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7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920" w:type="dxa"/>
            <w:vAlign w:val="center"/>
          </w:tcPr>
          <w:p w14:paraId="4179E994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-4.1%</w:t>
            </w:r>
          </w:p>
        </w:tc>
        <w:tc>
          <w:tcPr>
            <w:tcW w:w="944" w:type="dxa"/>
            <w:vAlign w:val="center"/>
          </w:tcPr>
          <w:p w14:paraId="443F7DFB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5" w:type="dxa"/>
            <w:vAlign w:val="center"/>
          </w:tcPr>
          <w:p w14:paraId="48A61A3C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1087" w:type="dxa"/>
            <w:vAlign w:val="center"/>
          </w:tcPr>
          <w:p w14:paraId="50E776C3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154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992" w:type="dxa"/>
            <w:vAlign w:val="center"/>
          </w:tcPr>
          <w:p w14:paraId="22BF80AD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4EC36770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1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  <w:tr w14:paraId="2AAD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562" w:type="dxa"/>
            <w:vMerge w:val="continue"/>
            <w:vAlign w:val="center"/>
          </w:tcPr>
          <w:p w14:paraId="39F98E20">
            <w:pPr>
              <w:pStyle w:val="2"/>
              <w:spacing w:line="360" w:lineRule="exact"/>
              <w:ind w:firstLine="482"/>
              <w:jc w:val="center"/>
              <w:rPr>
                <w:rFonts w:hint="eastAsia" w:cs="仿宋_GB2312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4723D8EE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  <w:highlight w:val="none"/>
              </w:rPr>
              <w:t>合计</w:t>
            </w:r>
          </w:p>
        </w:tc>
        <w:tc>
          <w:tcPr>
            <w:tcW w:w="1083" w:type="dxa"/>
          </w:tcPr>
          <w:p w14:paraId="657391EE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1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353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920" w:type="dxa"/>
          </w:tcPr>
          <w:p w14:paraId="10C68B89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-11.0%</w:t>
            </w:r>
          </w:p>
        </w:tc>
        <w:tc>
          <w:tcPr>
            <w:tcW w:w="944" w:type="dxa"/>
          </w:tcPr>
          <w:p w14:paraId="4884FE57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-5.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5" w:type="dxa"/>
          </w:tcPr>
          <w:p w14:paraId="67DE1DE5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-6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1087" w:type="dxa"/>
            <w:vAlign w:val="center"/>
          </w:tcPr>
          <w:p w14:paraId="71FABA46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2875.04</w:t>
            </w:r>
          </w:p>
        </w:tc>
        <w:tc>
          <w:tcPr>
            <w:tcW w:w="992" w:type="dxa"/>
            <w:vAlign w:val="center"/>
          </w:tcPr>
          <w:p w14:paraId="5E9B44FC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-5.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456E6ECB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-2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  <w:tr w14:paraId="7542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012" w:type="dxa"/>
            <w:gridSpan w:val="2"/>
            <w:vAlign w:val="center"/>
          </w:tcPr>
          <w:p w14:paraId="41A0680E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铁路客运量</w:t>
            </w:r>
          </w:p>
        </w:tc>
        <w:tc>
          <w:tcPr>
            <w:tcW w:w="1083" w:type="dxa"/>
          </w:tcPr>
          <w:p w14:paraId="3AFD88E2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82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仿宋_GB2312" w:cs="仿宋_GB2312"/>
                <w:sz w:val="21"/>
                <w:szCs w:val="21"/>
              </w:rPr>
              <w:t>0</w:t>
            </w:r>
          </w:p>
        </w:tc>
        <w:tc>
          <w:tcPr>
            <w:tcW w:w="920" w:type="dxa"/>
          </w:tcPr>
          <w:p w14:paraId="17C30FD2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-27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4" w:type="dxa"/>
          </w:tcPr>
          <w:p w14:paraId="32E3C013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5" w:type="dxa"/>
          </w:tcPr>
          <w:p w14:paraId="4EBA7CAF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1087" w:type="dxa"/>
          </w:tcPr>
          <w:p w14:paraId="363F99E6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1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95</w:t>
            </w:r>
            <w:r>
              <w:rPr>
                <w:rFonts w:hint="eastAsia" w:eastAsia="仿宋_GB2312" w:cs="仿宋_GB2312"/>
                <w:sz w:val="21"/>
                <w:szCs w:val="21"/>
              </w:rPr>
              <w:t>.80</w:t>
            </w:r>
          </w:p>
        </w:tc>
        <w:tc>
          <w:tcPr>
            <w:tcW w:w="992" w:type="dxa"/>
          </w:tcPr>
          <w:p w14:paraId="4E85054C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351C6F39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  <w:tr w14:paraId="33C6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2" w:type="dxa"/>
            <w:gridSpan w:val="2"/>
            <w:vAlign w:val="center"/>
          </w:tcPr>
          <w:p w14:paraId="0C5EE192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民航客运量</w:t>
            </w:r>
          </w:p>
        </w:tc>
        <w:tc>
          <w:tcPr>
            <w:tcW w:w="1083" w:type="dxa"/>
          </w:tcPr>
          <w:p w14:paraId="096B3104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6.39</w:t>
            </w:r>
          </w:p>
        </w:tc>
        <w:tc>
          <w:tcPr>
            <w:tcW w:w="920" w:type="dxa"/>
          </w:tcPr>
          <w:p w14:paraId="0730F903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-5.3%</w:t>
            </w:r>
          </w:p>
        </w:tc>
        <w:tc>
          <w:tcPr>
            <w:tcW w:w="944" w:type="dxa"/>
          </w:tcPr>
          <w:p w14:paraId="5F9ECD4A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4.1%</w:t>
            </w:r>
          </w:p>
        </w:tc>
        <w:tc>
          <w:tcPr>
            <w:tcW w:w="945" w:type="dxa"/>
          </w:tcPr>
          <w:p w14:paraId="304D9BBD">
            <w:pPr>
              <w:pStyle w:val="2"/>
              <w:ind w:left="0" w:leftChars="0"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-4.0%</w:t>
            </w:r>
          </w:p>
        </w:tc>
        <w:tc>
          <w:tcPr>
            <w:tcW w:w="1087" w:type="dxa"/>
          </w:tcPr>
          <w:p w14:paraId="0681E79A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13.14</w:t>
            </w:r>
          </w:p>
        </w:tc>
        <w:tc>
          <w:tcPr>
            <w:tcW w:w="992" w:type="dxa"/>
          </w:tcPr>
          <w:p w14:paraId="404FC55C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4EF8A44D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  <w:tr w14:paraId="1C184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2" w:type="dxa"/>
            <w:gridSpan w:val="2"/>
            <w:vAlign w:val="center"/>
          </w:tcPr>
          <w:p w14:paraId="3482FE48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水路客运量</w:t>
            </w:r>
          </w:p>
        </w:tc>
        <w:tc>
          <w:tcPr>
            <w:tcW w:w="1083" w:type="dxa"/>
          </w:tcPr>
          <w:p w14:paraId="2C1C8C51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920" w:type="dxa"/>
          </w:tcPr>
          <w:p w14:paraId="567EE21F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154.6%</w:t>
            </w:r>
          </w:p>
        </w:tc>
        <w:tc>
          <w:tcPr>
            <w:tcW w:w="944" w:type="dxa"/>
          </w:tcPr>
          <w:p w14:paraId="22EF789B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14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5" w:type="dxa"/>
          </w:tcPr>
          <w:p w14:paraId="5196FA5F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-36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1087" w:type="dxa"/>
          </w:tcPr>
          <w:p w14:paraId="16150538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992" w:type="dxa"/>
          </w:tcPr>
          <w:p w14:paraId="7AD1D7A0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42231C66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-29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  <w:tr w14:paraId="6BD4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2" w:type="dxa"/>
            <w:gridSpan w:val="2"/>
            <w:vAlign w:val="center"/>
          </w:tcPr>
          <w:p w14:paraId="038284A3">
            <w:pPr>
              <w:pStyle w:val="2"/>
              <w:spacing w:line="360" w:lineRule="exact"/>
              <w:ind w:firstLine="0" w:firstLineChars="0"/>
              <w:jc w:val="center"/>
              <w:rPr>
                <w:rFonts w:hint="eastAsia" w:cs="仿宋_GB2312"/>
                <w:b/>
                <w:bCs/>
                <w:sz w:val="24"/>
              </w:rPr>
            </w:pPr>
            <w:r>
              <w:rPr>
                <w:rFonts w:hint="eastAsia" w:cs="仿宋_GB2312"/>
                <w:b/>
                <w:bCs/>
                <w:sz w:val="24"/>
              </w:rPr>
              <w:t>总计</w:t>
            </w:r>
          </w:p>
        </w:tc>
        <w:tc>
          <w:tcPr>
            <w:tcW w:w="1083" w:type="dxa"/>
          </w:tcPr>
          <w:p w14:paraId="52771CA5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1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445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920" w:type="dxa"/>
          </w:tcPr>
          <w:p w14:paraId="5C002325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-12.0%</w:t>
            </w:r>
          </w:p>
        </w:tc>
        <w:tc>
          <w:tcPr>
            <w:tcW w:w="944" w:type="dxa"/>
          </w:tcPr>
          <w:p w14:paraId="3CA6BDBC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45" w:type="dxa"/>
          </w:tcPr>
          <w:p w14:paraId="22CEF9A7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-5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1087" w:type="dxa"/>
          </w:tcPr>
          <w:p w14:paraId="507343AA">
            <w:pPr>
              <w:pStyle w:val="2"/>
              <w:ind w:firstLine="0" w:firstLineChars="0"/>
              <w:jc w:val="center"/>
              <w:rPr>
                <w:rFonts w:hint="default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3088.63</w:t>
            </w:r>
          </w:p>
        </w:tc>
        <w:tc>
          <w:tcPr>
            <w:tcW w:w="992" w:type="dxa"/>
          </w:tcPr>
          <w:p w14:paraId="6A06DC93">
            <w:pPr>
              <w:pStyle w:val="2"/>
              <w:ind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eastAsia="仿宋_GB2312" w:cs="仿宋_GB2312"/>
                <w:sz w:val="21"/>
                <w:szCs w:val="21"/>
              </w:rPr>
              <w:t>-4.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  <w:tc>
          <w:tcPr>
            <w:tcW w:w="991" w:type="dxa"/>
            <w:vAlign w:val="center"/>
          </w:tcPr>
          <w:p w14:paraId="4A813968">
            <w:pPr>
              <w:pStyle w:val="2"/>
              <w:ind w:left="0" w:leftChars="0" w:firstLine="0" w:firstLineChars="0"/>
              <w:jc w:val="center"/>
              <w:rPr>
                <w:rFonts w:hint="eastAsia" w:cs="仿宋_GB2312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-1</w:t>
            </w:r>
            <w:r>
              <w:rPr>
                <w:rFonts w:hint="eastAsia" w:eastAsia="仿宋_GB2312" w:cs="仿宋_GB2312"/>
                <w:sz w:val="21"/>
                <w:szCs w:val="21"/>
              </w:rPr>
              <w:t>.</w:t>
            </w:r>
            <w:r>
              <w:rPr>
                <w:rFonts w:hint="eastAsia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仿宋_GB2312" w:cs="仿宋_GB2312"/>
                <w:sz w:val="21"/>
                <w:szCs w:val="21"/>
              </w:rPr>
              <w:t>%</w:t>
            </w:r>
          </w:p>
        </w:tc>
      </w:tr>
    </w:tbl>
    <w:p w14:paraId="5ADD6B53">
      <w:pPr>
        <w:spacing w:line="240" w:lineRule="auto"/>
        <w:ind w:firstLine="0" w:firstLineChars="0"/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ECC8D">
    <w:pPr>
      <w:pStyle w:val="8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C92C9">
    <w:pPr>
      <w:pStyle w:val="8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7651D">
    <w:pPr>
      <w:pStyle w:val="8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B9A2B">
    <w:pPr>
      <w:pStyle w:val="9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78FAC">
    <w:pPr>
      <w:pStyle w:val="9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A74C5">
    <w:pPr>
      <w:pStyle w:val="9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7C"/>
    <w:rsid w:val="000B22FC"/>
    <w:rsid w:val="00123DAA"/>
    <w:rsid w:val="001741BB"/>
    <w:rsid w:val="001A4716"/>
    <w:rsid w:val="00252666"/>
    <w:rsid w:val="003F741C"/>
    <w:rsid w:val="003F7A6E"/>
    <w:rsid w:val="005F22F7"/>
    <w:rsid w:val="00640861"/>
    <w:rsid w:val="00655DDF"/>
    <w:rsid w:val="0068545F"/>
    <w:rsid w:val="00794051"/>
    <w:rsid w:val="00995B3A"/>
    <w:rsid w:val="009C20A4"/>
    <w:rsid w:val="00A02BC8"/>
    <w:rsid w:val="00AE30B0"/>
    <w:rsid w:val="00B20FD6"/>
    <w:rsid w:val="00B25A02"/>
    <w:rsid w:val="00B5648D"/>
    <w:rsid w:val="00B904F8"/>
    <w:rsid w:val="00BC757B"/>
    <w:rsid w:val="00C01D08"/>
    <w:rsid w:val="00C463F1"/>
    <w:rsid w:val="00CE4D7C"/>
    <w:rsid w:val="00D8373E"/>
    <w:rsid w:val="00DB16C8"/>
    <w:rsid w:val="00E43F1F"/>
    <w:rsid w:val="00E44B8B"/>
    <w:rsid w:val="00FF14C9"/>
    <w:rsid w:val="01016CFC"/>
    <w:rsid w:val="011C44BE"/>
    <w:rsid w:val="013B15B2"/>
    <w:rsid w:val="01D8225E"/>
    <w:rsid w:val="01E12763"/>
    <w:rsid w:val="02421D02"/>
    <w:rsid w:val="02770845"/>
    <w:rsid w:val="0321400D"/>
    <w:rsid w:val="03320220"/>
    <w:rsid w:val="034F0B7A"/>
    <w:rsid w:val="040A7E52"/>
    <w:rsid w:val="04A942BA"/>
    <w:rsid w:val="04F25C61"/>
    <w:rsid w:val="05216546"/>
    <w:rsid w:val="05607A03"/>
    <w:rsid w:val="05A54A82"/>
    <w:rsid w:val="05F177D0"/>
    <w:rsid w:val="064A387B"/>
    <w:rsid w:val="06E32AED"/>
    <w:rsid w:val="07144AEC"/>
    <w:rsid w:val="07512DF9"/>
    <w:rsid w:val="077A1F3E"/>
    <w:rsid w:val="078828AD"/>
    <w:rsid w:val="084A7B62"/>
    <w:rsid w:val="0894528B"/>
    <w:rsid w:val="08E458C1"/>
    <w:rsid w:val="08FB7878"/>
    <w:rsid w:val="09216B15"/>
    <w:rsid w:val="09E31ABE"/>
    <w:rsid w:val="09EF37B7"/>
    <w:rsid w:val="09F9539C"/>
    <w:rsid w:val="0A7554C5"/>
    <w:rsid w:val="0AC61D1C"/>
    <w:rsid w:val="0B0E30C9"/>
    <w:rsid w:val="0B136931"/>
    <w:rsid w:val="0B745622"/>
    <w:rsid w:val="0BA6471E"/>
    <w:rsid w:val="0BD460C1"/>
    <w:rsid w:val="0BE55E2C"/>
    <w:rsid w:val="0BEE462D"/>
    <w:rsid w:val="0C3D32A8"/>
    <w:rsid w:val="0D072BD4"/>
    <w:rsid w:val="0D239F67"/>
    <w:rsid w:val="0D2766C4"/>
    <w:rsid w:val="0D923C53"/>
    <w:rsid w:val="0DA33F9D"/>
    <w:rsid w:val="0DD028B8"/>
    <w:rsid w:val="0DF464C0"/>
    <w:rsid w:val="0E157728"/>
    <w:rsid w:val="0E604CB7"/>
    <w:rsid w:val="0E63140E"/>
    <w:rsid w:val="0E794CFD"/>
    <w:rsid w:val="0F44530B"/>
    <w:rsid w:val="0F56563B"/>
    <w:rsid w:val="0F597FE2"/>
    <w:rsid w:val="0F5B5A64"/>
    <w:rsid w:val="0FBF465C"/>
    <w:rsid w:val="0FFF570F"/>
    <w:rsid w:val="100F2DA4"/>
    <w:rsid w:val="107C119C"/>
    <w:rsid w:val="10B1077E"/>
    <w:rsid w:val="11056D1C"/>
    <w:rsid w:val="11941D32"/>
    <w:rsid w:val="11E84E2D"/>
    <w:rsid w:val="122D3A6C"/>
    <w:rsid w:val="126718CF"/>
    <w:rsid w:val="128B14A3"/>
    <w:rsid w:val="12B74BA6"/>
    <w:rsid w:val="130152C1"/>
    <w:rsid w:val="131D2C53"/>
    <w:rsid w:val="132A0811"/>
    <w:rsid w:val="13763F01"/>
    <w:rsid w:val="137E72EE"/>
    <w:rsid w:val="13DD7ADC"/>
    <w:rsid w:val="13ED7D0B"/>
    <w:rsid w:val="14025795"/>
    <w:rsid w:val="14A625C4"/>
    <w:rsid w:val="14DA16AC"/>
    <w:rsid w:val="154020D1"/>
    <w:rsid w:val="1574621E"/>
    <w:rsid w:val="157C32FD"/>
    <w:rsid w:val="16623428"/>
    <w:rsid w:val="16873D30"/>
    <w:rsid w:val="16884528"/>
    <w:rsid w:val="16E62DCC"/>
    <w:rsid w:val="16EA2C3C"/>
    <w:rsid w:val="172872C1"/>
    <w:rsid w:val="17622F8B"/>
    <w:rsid w:val="176B7B12"/>
    <w:rsid w:val="17822E75"/>
    <w:rsid w:val="17C92852"/>
    <w:rsid w:val="17C96895"/>
    <w:rsid w:val="1831105E"/>
    <w:rsid w:val="183824AD"/>
    <w:rsid w:val="18CB43A7"/>
    <w:rsid w:val="193006AE"/>
    <w:rsid w:val="19392D03"/>
    <w:rsid w:val="19E80F89"/>
    <w:rsid w:val="1A5F4E67"/>
    <w:rsid w:val="1ABF7F3C"/>
    <w:rsid w:val="1B642891"/>
    <w:rsid w:val="1B920B47"/>
    <w:rsid w:val="1BD67285"/>
    <w:rsid w:val="1BD73063"/>
    <w:rsid w:val="1BEE6D2B"/>
    <w:rsid w:val="1C055E22"/>
    <w:rsid w:val="1C136791"/>
    <w:rsid w:val="1C1B5CA4"/>
    <w:rsid w:val="1C8A5C07"/>
    <w:rsid w:val="1D022362"/>
    <w:rsid w:val="1D2843D5"/>
    <w:rsid w:val="1D5A3F4C"/>
    <w:rsid w:val="1DAB29F9"/>
    <w:rsid w:val="1DED6B6E"/>
    <w:rsid w:val="1E1B7B7F"/>
    <w:rsid w:val="1E257EB1"/>
    <w:rsid w:val="1EC0460A"/>
    <w:rsid w:val="1ED92EC9"/>
    <w:rsid w:val="1EE1053D"/>
    <w:rsid w:val="1F28557B"/>
    <w:rsid w:val="1F470DDA"/>
    <w:rsid w:val="1F664E2A"/>
    <w:rsid w:val="202F0AB5"/>
    <w:rsid w:val="20967991"/>
    <w:rsid w:val="20A418E6"/>
    <w:rsid w:val="20C75D9C"/>
    <w:rsid w:val="20E56222"/>
    <w:rsid w:val="20E6069B"/>
    <w:rsid w:val="21384685"/>
    <w:rsid w:val="21F15FD6"/>
    <w:rsid w:val="22105521"/>
    <w:rsid w:val="221B3814"/>
    <w:rsid w:val="22A23C71"/>
    <w:rsid w:val="22AB2EC8"/>
    <w:rsid w:val="22F4309E"/>
    <w:rsid w:val="231E77CA"/>
    <w:rsid w:val="2331574F"/>
    <w:rsid w:val="2346744C"/>
    <w:rsid w:val="2353797E"/>
    <w:rsid w:val="23566BBD"/>
    <w:rsid w:val="23696C97"/>
    <w:rsid w:val="2375790A"/>
    <w:rsid w:val="23C14D25"/>
    <w:rsid w:val="243B1F27"/>
    <w:rsid w:val="243F5C4A"/>
    <w:rsid w:val="2450754A"/>
    <w:rsid w:val="24B34B61"/>
    <w:rsid w:val="2603017A"/>
    <w:rsid w:val="2626463B"/>
    <w:rsid w:val="265440B5"/>
    <w:rsid w:val="266A16A4"/>
    <w:rsid w:val="26D62895"/>
    <w:rsid w:val="275F6D2E"/>
    <w:rsid w:val="27A74232"/>
    <w:rsid w:val="27AB762D"/>
    <w:rsid w:val="27C015C4"/>
    <w:rsid w:val="27CC1EEA"/>
    <w:rsid w:val="287C121A"/>
    <w:rsid w:val="28F6721F"/>
    <w:rsid w:val="29226266"/>
    <w:rsid w:val="29916704"/>
    <w:rsid w:val="29D86DAB"/>
    <w:rsid w:val="29D92078"/>
    <w:rsid w:val="2A2102CB"/>
    <w:rsid w:val="2A230F84"/>
    <w:rsid w:val="2A3C3357"/>
    <w:rsid w:val="2A614116"/>
    <w:rsid w:val="2B3E30FF"/>
    <w:rsid w:val="2BB46F1D"/>
    <w:rsid w:val="2BD55811"/>
    <w:rsid w:val="2BEA12FE"/>
    <w:rsid w:val="2BEA845B"/>
    <w:rsid w:val="2BFA7026"/>
    <w:rsid w:val="2CAE1BBE"/>
    <w:rsid w:val="2CCF04B2"/>
    <w:rsid w:val="2D0B7011"/>
    <w:rsid w:val="2D724EA0"/>
    <w:rsid w:val="2D875092"/>
    <w:rsid w:val="2D944BDF"/>
    <w:rsid w:val="2D960FD0"/>
    <w:rsid w:val="2E0E097F"/>
    <w:rsid w:val="2E9B3506"/>
    <w:rsid w:val="2EF79812"/>
    <w:rsid w:val="2F120B2A"/>
    <w:rsid w:val="2FDD52FF"/>
    <w:rsid w:val="306426CF"/>
    <w:rsid w:val="30B30451"/>
    <w:rsid w:val="30C06EA3"/>
    <w:rsid w:val="30C21616"/>
    <w:rsid w:val="31745184"/>
    <w:rsid w:val="320F1351"/>
    <w:rsid w:val="324E00CB"/>
    <w:rsid w:val="327B0795"/>
    <w:rsid w:val="32975E60"/>
    <w:rsid w:val="329D4BAF"/>
    <w:rsid w:val="32D85BE7"/>
    <w:rsid w:val="32EC51EE"/>
    <w:rsid w:val="333406D1"/>
    <w:rsid w:val="33514428"/>
    <w:rsid w:val="3389086E"/>
    <w:rsid w:val="3426571B"/>
    <w:rsid w:val="34631132"/>
    <w:rsid w:val="347D3C16"/>
    <w:rsid w:val="34A60A8F"/>
    <w:rsid w:val="34C617CF"/>
    <w:rsid w:val="34CC172C"/>
    <w:rsid w:val="34D04DC8"/>
    <w:rsid w:val="34D65446"/>
    <w:rsid w:val="34DC6B56"/>
    <w:rsid w:val="351C27B0"/>
    <w:rsid w:val="35463620"/>
    <w:rsid w:val="356E52F9"/>
    <w:rsid w:val="3586192A"/>
    <w:rsid w:val="359704B9"/>
    <w:rsid w:val="35A818A1"/>
    <w:rsid w:val="35B12CA3"/>
    <w:rsid w:val="35B65651"/>
    <w:rsid w:val="362E0055"/>
    <w:rsid w:val="363479F9"/>
    <w:rsid w:val="368BE253"/>
    <w:rsid w:val="37084906"/>
    <w:rsid w:val="3733163E"/>
    <w:rsid w:val="373C4996"/>
    <w:rsid w:val="37702E4C"/>
    <w:rsid w:val="377D07A0"/>
    <w:rsid w:val="37AB5A01"/>
    <w:rsid w:val="3809239F"/>
    <w:rsid w:val="38233460"/>
    <w:rsid w:val="3839635A"/>
    <w:rsid w:val="389D4D5A"/>
    <w:rsid w:val="39F64F4C"/>
    <w:rsid w:val="3A2A0455"/>
    <w:rsid w:val="3A643621"/>
    <w:rsid w:val="3A802DEC"/>
    <w:rsid w:val="3AAD1707"/>
    <w:rsid w:val="3ABA5BEF"/>
    <w:rsid w:val="3B762441"/>
    <w:rsid w:val="3B984165"/>
    <w:rsid w:val="3C157564"/>
    <w:rsid w:val="3C3814A4"/>
    <w:rsid w:val="3C3E1C3D"/>
    <w:rsid w:val="3C642299"/>
    <w:rsid w:val="3C872824"/>
    <w:rsid w:val="3D235930"/>
    <w:rsid w:val="3D3D4FC4"/>
    <w:rsid w:val="3D932E36"/>
    <w:rsid w:val="3DC76F84"/>
    <w:rsid w:val="3DE37141"/>
    <w:rsid w:val="3E6E73FF"/>
    <w:rsid w:val="3EBDC28C"/>
    <w:rsid w:val="3FAEBA5E"/>
    <w:rsid w:val="3FBD23EC"/>
    <w:rsid w:val="3FC1012F"/>
    <w:rsid w:val="3FCCABA6"/>
    <w:rsid w:val="401F6642"/>
    <w:rsid w:val="406B1E48"/>
    <w:rsid w:val="4083794E"/>
    <w:rsid w:val="40D77F71"/>
    <w:rsid w:val="41243B62"/>
    <w:rsid w:val="41344930"/>
    <w:rsid w:val="41723033"/>
    <w:rsid w:val="419A5346"/>
    <w:rsid w:val="41D13F2D"/>
    <w:rsid w:val="422B7664"/>
    <w:rsid w:val="4251319F"/>
    <w:rsid w:val="42795B9E"/>
    <w:rsid w:val="429C09DF"/>
    <w:rsid w:val="432E677A"/>
    <w:rsid w:val="437F6B26"/>
    <w:rsid w:val="43CB77AB"/>
    <w:rsid w:val="43DB5DDF"/>
    <w:rsid w:val="43DF8E2D"/>
    <w:rsid w:val="44FA19ED"/>
    <w:rsid w:val="45774DEB"/>
    <w:rsid w:val="457C2064"/>
    <w:rsid w:val="45AA2A3E"/>
    <w:rsid w:val="45AC2937"/>
    <w:rsid w:val="45C00F5E"/>
    <w:rsid w:val="45DD5596"/>
    <w:rsid w:val="45EF8C39"/>
    <w:rsid w:val="46082EA1"/>
    <w:rsid w:val="464473C4"/>
    <w:rsid w:val="46481360"/>
    <w:rsid w:val="47357606"/>
    <w:rsid w:val="479B74B7"/>
    <w:rsid w:val="47B277ED"/>
    <w:rsid w:val="47EE1091"/>
    <w:rsid w:val="485B6C46"/>
    <w:rsid w:val="48636EBA"/>
    <w:rsid w:val="487A3570"/>
    <w:rsid w:val="488241D3"/>
    <w:rsid w:val="4956775D"/>
    <w:rsid w:val="499042B6"/>
    <w:rsid w:val="4A301A0D"/>
    <w:rsid w:val="4AB443EC"/>
    <w:rsid w:val="4AEFEEAA"/>
    <w:rsid w:val="4B1A06F3"/>
    <w:rsid w:val="4B1F03FF"/>
    <w:rsid w:val="4B683B54"/>
    <w:rsid w:val="4BCD4BF1"/>
    <w:rsid w:val="4C26756B"/>
    <w:rsid w:val="4C42094D"/>
    <w:rsid w:val="4C685E64"/>
    <w:rsid w:val="4C6D6250"/>
    <w:rsid w:val="4C7E6F74"/>
    <w:rsid w:val="4CF86A70"/>
    <w:rsid w:val="4CFF2296"/>
    <w:rsid w:val="4DA02D35"/>
    <w:rsid w:val="4E061402"/>
    <w:rsid w:val="4E467A51"/>
    <w:rsid w:val="4E760336"/>
    <w:rsid w:val="4EB74C92"/>
    <w:rsid w:val="4F133DD7"/>
    <w:rsid w:val="4F7B76E2"/>
    <w:rsid w:val="4FB960DD"/>
    <w:rsid w:val="4FD07F1A"/>
    <w:rsid w:val="4FE84275"/>
    <w:rsid w:val="4FFD7CEE"/>
    <w:rsid w:val="50116D73"/>
    <w:rsid w:val="50704B6B"/>
    <w:rsid w:val="50A84D1B"/>
    <w:rsid w:val="50ED42B9"/>
    <w:rsid w:val="50F01093"/>
    <w:rsid w:val="518E3BE9"/>
    <w:rsid w:val="51C770FB"/>
    <w:rsid w:val="51E03964"/>
    <w:rsid w:val="521560B8"/>
    <w:rsid w:val="5244328C"/>
    <w:rsid w:val="524E0A8D"/>
    <w:rsid w:val="52546BE0"/>
    <w:rsid w:val="52CE57B0"/>
    <w:rsid w:val="52FE4A0F"/>
    <w:rsid w:val="531E0F9C"/>
    <w:rsid w:val="5378497F"/>
    <w:rsid w:val="53E820AB"/>
    <w:rsid w:val="53FF6213"/>
    <w:rsid w:val="54413194"/>
    <w:rsid w:val="54613615"/>
    <w:rsid w:val="5495528E"/>
    <w:rsid w:val="54EA7388"/>
    <w:rsid w:val="54F63F7F"/>
    <w:rsid w:val="55086EF9"/>
    <w:rsid w:val="5514671A"/>
    <w:rsid w:val="55EC35D4"/>
    <w:rsid w:val="55F304BE"/>
    <w:rsid w:val="56095F34"/>
    <w:rsid w:val="56242D6E"/>
    <w:rsid w:val="562763BA"/>
    <w:rsid w:val="563B5A15"/>
    <w:rsid w:val="56424281"/>
    <w:rsid w:val="56764C4B"/>
    <w:rsid w:val="56E64CA7"/>
    <w:rsid w:val="572E1C98"/>
    <w:rsid w:val="57353390"/>
    <w:rsid w:val="57454278"/>
    <w:rsid w:val="577B2E97"/>
    <w:rsid w:val="57AB0425"/>
    <w:rsid w:val="57B70A57"/>
    <w:rsid w:val="57E73EFA"/>
    <w:rsid w:val="57E75E01"/>
    <w:rsid w:val="580616AE"/>
    <w:rsid w:val="581B231E"/>
    <w:rsid w:val="583447A8"/>
    <w:rsid w:val="584119B5"/>
    <w:rsid w:val="58B63D67"/>
    <w:rsid w:val="5940227C"/>
    <w:rsid w:val="59D6437F"/>
    <w:rsid w:val="5AAE70AA"/>
    <w:rsid w:val="5ADA39FB"/>
    <w:rsid w:val="5AEB9BAC"/>
    <w:rsid w:val="5AF660CA"/>
    <w:rsid w:val="5B996A6B"/>
    <w:rsid w:val="5BAD63D4"/>
    <w:rsid w:val="5BFB631F"/>
    <w:rsid w:val="5C0F5422"/>
    <w:rsid w:val="5C2C0A0E"/>
    <w:rsid w:val="5C3F26AF"/>
    <w:rsid w:val="5C976561"/>
    <w:rsid w:val="5D8A5BAC"/>
    <w:rsid w:val="5D8D11F8"/>
    <w:rsid w:val="5DAB7804"/>
    <w:rsid w:val="5E5341F0"/>
    <w:rsid w:val="5E7DF735"/>
    <w:rsid w:val="5E7F3237"/>
    <w:rsid w:val="5E86196F"/>
    <w:rsid w:val="5F4A94A4"/>
    <w:rsid w:val="5F5C53FD"/>
    <w:rsid w:val="5F6A1143"/>
    <w:rsid w:val="5F7A33F6"/>
    <w:rsid w:val="5F9F1B4D"/>
    <w:rsid w:val="5FD9A0A7"/>
    <w:rsid w:val="5FF5B0A7"/>
    <w:rsid w:val="5FFE462F"/>
    <w:rsid w:val="600B149F"/>
    <w:rsid w:val="60103202"/>
    <w:rsid w:val="602742D8"/>
    <w:rsid w:val="603C6EC1"/>
    <w:rsid w:val="61240BF5"/>
    <w:rsid w:val="6139505C"/>
    <w:rsid w:val="61483DB4"/>
    <w:rsid w:val="615C785F"/>
    <w:rsid w:val="617F52FC"/>
    <w:rsid w:val="62652744"/>
    <w:rsid w:val="62753841"/>
    <w:rsid w:val="62807A86"/>
    <w:rsid w:val="630E1F46"/>
    <w:rsid w:val="6311467A"/>
    <w:rsid w:val="63827325"/>
    <w:rsid w:val="63957059"/>
    <w:rsid w:val="6424218B"/>
    <w:rsid w:val="647153D0"/>
    <w:rsid w:val="647E5D3F"/>
    <w:rsid w:val="64C5396E"/>
    <w:rsid w:val="65180DC6"/>
    <w:rsid w:val="657B10C3"/>
    <w:rsid w:val="658B0713"/>
    <w:rsid w:val="659D0447"/>
    <w:rsid w:val="65B8702E"/>
    <w:rsid w:val="65FA13F5"/>
    <w:rsid w:val="663012BB"/>
    <w:rsid w:val="667271DD"/>
    <w:rsid w:val="66E63727"/>
    <w:rsid w:val="670E377F"/>
    <w:rsid w:val="674F15DA"/>
    <w:rsid w:val="67605463"/>
    <w:rsid w:val="6798E246"/>
    <w:rsid w:val="67E609E7"/>
    <w:rsid w:val="67EE9B9F"/>
    <w:rsid w:val="68163EEA"/>
    <w:rsid w:val="682E35D8"/>
    <w:rsid w:val="683F25DB"/>
    <w:rsid w:val="68AF4719"/>
    <w:rsid w:val="68DD74D8"/>
    <w:rsid w:val="696C5805"/>
    <w:rsid w:val="699A7177"/>
    <w:rsid w:val="6A002D52"/>
    <w:rsid w:val="6A0C51A5"/>
    <w:rsid w:val="6A436DE1"/>
    <w:rsid w:val="6A644718"/>
    <w:rsid w:val="6B157A1A"/>
    <w:rsid w:val="6B440D6F"/>
    <w:rsid w:val="6BBF7483"/>
    <w:rsid w:val="6BC04C0A"/>
    <w:rsid w:val="6BCF3B13"/>
    <w:rsid w:val="6BEB1F0C"/>
    <w:rsid w:val="6BF73EAB"/>
    <w:rsid w:val="6C046B2A"/>
    <w:rsid w:val="6C0F65A9"/>
    <w:rsid w:val="6C731F01"/>
    <w:rsid w:val="6CE32BE3"/>
    <w:rsid w:val="6D5DBAD1"/>
    <w:rsid w:val="6D681EAE"/>
    <w:rsid w:val="6D97577B"/>
    <w:rsid w:val="6DAB5E2E"/>
    <w:rsid w:val="6DC72505"/>
    <w:rsid w:val="6DD54C21"/>
    <w:rsid w:val="6DFF6C9A"/>
    <w:rsid w:val="6E164360"/>
    <w:rsid w:val="6E621725"/>
    <w:rsid w:val="6EC50A39"/>
    <w:rsid w:val="6ECF78C3"/>
    <w:rsid w:val="6EE127E5"/>
    <w:rsid w:val="6EEF55FE"/>
    <w:rsid w:val="6EFC7F8C"/>
    <w:rsid w:val="6F4357E6"/>
    <w:rsid w:val="6F5C6C7D"/>
    <w:rsid w:val="6F9A2108"/>
    <w:rsid w:val="6F9F5FAD"/>
    <w:rsid w:val="6FE4739E"/>
    <w:rsid w:val="6FF6034F"/>
    <w:rsid w:val="6FFD440B"/>
    <w:rsid w:val="708B7819"/>
    <w:rsid w:val="70980188"/>
    <w:rsid w:val="70B14DA6"/>
    <w:rsid w:val="70D56DD2"/>
    <w:rsid w:val="713F0A34"/>
    <w:rsid w:val="717FB45D"/>
    <w:rsid w:val="7180552F"/>
    <w:rsid w:val="7188026F"/>
    <w:rsid w:val="71B94416"/>
    <w:rsid w:val="71C96872"/>
    <w:rsid w:val="71F907B3"/>
    <w:rsid w:val="73092C77"/>
    <w:rsid w:val="732A78A1"/>
    <w:rsid w:val="73410663"/>
    <w:rsid w:val="737D375C"/>
    <w:rsid w:val="73D7B9D8"/>
    <w:rsid w:val="73DFDA21"/>
    <w:rsid w:val="73EFBDC4"/>
    <w:rsid w:val="74274501"/>
    <w:rsid w:val="74640AAD"/>
    <w:rsid w:val="74890514"/>
    <w:rsid w:val="74A45FC7"/>
    <w:rsid w:val="75167AAC"/>
    <w:rsid w:val="75491A51"/>
    <w:rsid w:val="76D10105"/>
    <w:rsid w:val="771B2BD1"/>
    <w:rsid w:val="77536BB7"/>
    <w:rsid w:val="777E5A43"/>
    <w:rsid w:val="77A37615"/>
    <w:rsid w:val="77AFF3A5"/>
    <w:rsid w:val="77E12415"/>
    <w:rsid w:val="77F9775E"/>
    <w:rsid w:val="7805064B"/>
    <w:rsid w:val="780F0D30"/>
    <w:rsid w:val="78112CFA"/>
    <w:rsid w:val="78801C2E"/>
    <w:rsid w:val="78A24148"/>
    <w:rsid w:val="78B6561E"/>
    <w:rsid w:val="78FE5765"/>
    <w:rsid w:val="795E11AA"/>
    <w:rsid w:val="797F5A41"/>
    <w:rsid w:val="799F4335"/>
    <w:rsid w:val="79B66FA9"/>
    <w:rsid w:val="79B77010"/>
    <w:rsid w:val="79D73E48"/>
    <w:rsid w:val="79F3459F"/>
    <w:rsid w:val="7A420963"/>
    <w:rsid w:val="7A6A088D"/>
    <w:rsid w:val="7A7332CC"/>
    <w:rsid w:val="7A771C53"/>
    <w:rsid w:val="7AB117F0"/>
    <w:rsid w:val="7B1E74DC"/>
    <w:rsid w:val="7B267DFA"/>
    <w:rsid w:val="7B385380"/>
    <w:rsid w:val="7B967D48"/>
    <w:rsid w:val="7BAF8DED"/>
    <w:rsid w:val="7BB7E66B"/>
    <w:rsid w:val="7BC35EBB"/>
    <w:rsid w:val="7BC71922"/>
    <w:rsid w:val="7BDC1ED9"/>
    <w:rsid w:val="7BFCF348"/>
    <w:rsid w:val="7C294F47"/>
    <w:rsid w:val="7CA00D69"/>
    <w:rsid w:val="7CB77BE8"/>
    <w:rsid w:val="7CD6006E"/>
    <w:rsid w:val="7CFFB3F2"/>
    <w:rsid w:val="7D146C29"/>
    <w:rsid w:val="7D592A4D"/>
    <w:rsid w:val="7D60CC9C"/>
    <w:rsid w:val="7D697134"/>
    <w:rsid w:val="7D717D97"/>
    <w:rsid w:val="7D753146"/>
    <w:rsid w:val="7D7F361B"/>
    <w:rsid w:val="7D7F5DF2"/>
    <w:rsid w:val="7D983576"/>
    <w:rsid w:val="7DF366E4"/>
    <w:rsid w:val="7E3A287F"/>
    <w:rsid w:val="7E5A082B"/>
    <w:rsid w:val="7E7BE929"/>
    <w:rsid w:val="7E8E63B9"/>
    <w:rsid w:val="7E957AB5"/>
    <w:rsid w:val="7ED1449D"/>
    <w:rsid w:val="7EDC955E"/>
    <w:rsid w:val="7EFE5380"/>
    <w:rsid w:val="7EFFE763"/>
    <w:rsid w:val="7F101764"/>
    <w:rsid w:val="7F2D3532"/>
    <w:rsid w:val="7F79928D"/>
    <w:rsid w:val="7F7D07DF"/>
    <w:rsid w:val="7F7F997D"/>
    <w:rsid w:val="7FB53E8B"/>
    <w:rsid w:val="7FCFDA5E"/>
    <w:rsid w:val="7FD85EAB"/>
    <w:rsid w:val="7FDBA3E2"/>
    <w:rsid w:val="7FDE1AD7"/>
    <w:rsid w:val="7FE25F44"/>
    <w:rsid w:val="7FFC1BD5"/>
    <w:rsid w:val="7FFD5045"/>
    <w:rsid w:val="8BFBF6E4"/>
    <w:rsid w:val="977FDC62"/>
    <w:rsid w:val="97F66E83"/>
    <w:rsid w:val="9F744B45"/>
    <w:rsid w:val="A3EF68B1"/>
    <w:rsid w:val="A7BCC913"/>
    <w:rsid w:val="A7C56BCA"/>
    <w:rsid w:val="AF3D83F4"/>
    <w:rsid w:val="B177BD83"/>
    <w:rsid w:val="B3FEB9D6"/>
    <w:rsid w:val="B7FB593C"/>
    <w:rsid w:val="B99F1C89"/>
    <w:rsid w:val="BBE72139"/>
    <w:rsid w:val="BBE7EBF0"/>
    <w:rsid w:val="BBF620AF"/>
    <w:rsid w:val="BDFB885C"/>
    <w:rsid w:val="BE9D8F42"/>
    <w:rsid w:val="BEE91924"/>
    <w:rsid w:val="BF2E30DC"/>
    <w:rsid w:val="BFDF675C"/>
    <w:rsid w:val="BFFFB3DF"/>
    <w:rsid w:val="BFFFD5A7"/>
    <w:rsid w:val="C6EFAB15"/>
    <w:rsid w:val="CD7FC50D"/>
    <w:rsid w:val="CDFFC707"/>
    <w:rsid w:val="CF2E2F80"/>
    <w:rsid w:val="CF771351"/>
    <w:rsid w:val="D45EE01E"/>
    <w:rsid w:val="D4EF30CB"/>
    <w:rsid w:val="D75CFE97"/>
    <w:rsid w:val="D78F6D9E"/>
    <w:rsid w:val="D7EF411F"/>
    <w:rsid w:val="DAEAF71C"/>
    <w:rsid w:val="DDFBBE27"/>
    <w:rsid w:val="DEB7612C"/>
    <w:rsid w:val="DF9F8299"/>
    <w:rsid w:val="DFB26997"/>
    <w:rsid w:val="DFDF5F1B"/>
    <w:rsid w:val="DFE26361"/>
    <w:rsid w:val="E7DB1A1F"/>
    <w:rsid w:val="E8BB13EA"/>
    <w:rsid w:val="EB72F9FE"/>
    <w:rsid w:val="ECF9DB2B"/>
    <w:rsid w:val="EE6B4312"/>
    <w:rsid w:val="EEEBB80C"/>
    <w:rsid w:val="EF6D0459"/>
    <w:rsid w:val="EFABD7C2"/>
    <w:rsid w:val="EFB0FE06"/>
    <w:rsid w:val="EFEBCE73"/>
    <w:rsid w:val="EFF9578A"/>
    <w:rsid w:val="F1FD7B16"/>
    <w:rsid w:val="F3FE8BF0"/>
    <w:rsid w:val="F4FF5710"/>
    <w:rsid w:val="F5A76AB9"/>
    <w:rsid w:val="F5B7A8AF"/>
    <w:rsid w:val="F6BEB6AC"/>
    <w:rsid w:val="F73BA81A"/>
    <w:rsid w:val="F756105A"/>
    <w:rsid w:val="F7793B4F"/>
    <w:rsid w:val="F79BCDC6"/>
    <w:rsid w:val="F7BD2216"/>
    <w:rsid w:val="F7CF38C7"/>
    <w:rsid w:val="F7D3087E"/>
    <w:rsid w:val="F7EEF116"/>
    <w:rsid w:val="F7F87A97"/>
    <w:rsid w:val="F9D94C18"/>
    <w:rsid w:val="FAD2A7D3"/>
    <w:rsid w:val="FAFAF195"/>
    <w:rsid w:val="FBF79394"/>
    <w:rsid w:val="FBFFF889"/>
    <w:rsid w:val="FCFF114D"/>
    <w:rsid w:val="FD9F8D58"/>
    <w:rsid w:val="FDC46787"/>
    <w:rsid w:val="FE67E67E"/>
    <w:rsid w:val="FEFBA89E"/>
    <w:rsid w:val="FEFC4B36"/>
    <w:rsid w:val="FF984814"/>
    <w:rsid w:val="FFD761E4"/>
    <w:rsid w:val="FFD78A43"/>
    <w:rsid w:val="FFDF7DA1"/>
    <w:rsid w:val="FFE11F80"/>
    <w:rsid w:val="FFEE15AE"/>
    <w:rsid w:val="FFEEEE95"/>
    <w:rsid w:val="FFF7405E"/>
    <w:rsid w:val="FFF76F3C"/>
    <w:rsid w:val="FFFBD45A"/>
    <w:rsid w:val="FF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next w:val="1"/>
    <w:link w:val="19"/>
    <w:qFormat/>
    <w:uiPriority w:val="0"/>
    <w:pPr>
      <w:keepNext/>
      <w:keepLines/>
      <w:spacing w:line="560" w:lineRule="exact"/>
      <w:ind w:firstLine="482" w:firstLineChars="200"/>
      <w:outlineLvl w:val="0"/>
    </w:pPr>
    <w:rPr>
      <w:rFonts w:ascii="黑体" w:hAnsi="黑体" w:eastAsia="黑体" w:cstheme="minorBidi"/>
      <w:kern w:val="44"/>
      <w:sz w:val="32"/>
      <w:lang w:val="en-US" w:eastAsia="zh-CN" w:bidi="ar-SA"/>
    </w:rPr>
  </w:style>
  <w:style w:type="paragraph" w:styleId="4">
    <w:name w:val="heading 2"/>
    <w:next w:val="1"/>
    <w:semiHidden/>
    <w:unhideWhenUsed/>
    <w:qFormat/>
    <w:uiPriority w:val="0"/>
    <w:pPr>
      <w:keepNext/>
      <w:keepLines/>
      <w:spacing w:line="560" w:lineRule="exact"/>
      <w:ind w:firstLine="482" w:firstLineChars="200"/>
      <w:outlineLvl w:val="1"/>
    </w:pPr>
    <w:rPr>
      <w:rFonts w:ascii="楷体_GB2312" w:hAnsi="楷体_GB2312" w:eastAsia="楷体_GB2312" w:cstheme="minorBidi"/>
      <w:sz w:val="32"/>
      <w:lang w:val="en-US" w:eastAsia="zh-CN" w:bidi="ar-SA"/>
    </w:rPr>
  </w:style>
  <w:style w:type="paragraph" w:styleId="5">
    <w:name w:val="heading 3"/>
    <w:next w:val="1"/>
    <w:semiHidden/>
    <w:unhideWhenUsed/>
    <w:qFormat/>
    <w:uiPriority w:val="0"/>
    <w:pPr>
      <w:keepNext/>
      <w:keepLines/>
      <w:spacing w:line="560" w:lineRule="exact"/>
      <w:ind w:firstLine="482" w:firstLineChars="200"/>
      <w:outlineLvl w:val="2"/>
    </w:pPr>
    <w:rPr>
      <w:rFonts w:ascii="仿宋_GB2312" w:hAnsi="仿宋_GB2312" w:eastAsia="仿宋_GB2312" w:cstheme="minorBidi"/>
      <w:sz w:val="32"/>
      <w:lang w:val="en-US" w:eastAsia="zh-CN" w:bidi="ar-SA"/>
    </w:rPr>
  </w:style>
  <w:style w:type="paragraph" w:styleId="6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482" w:firstLineChars="200"/>
      <w:outlineLvl w:val="3"/>
    </w:pPr>
    <w:rPr>
      <w:rFonts w:ascii="仿宋_GB2312" w:hAnsi="仿宋_GB2312" w:eastAsia="仿宋_GB2312" w:cstheme="minorBidi"/>
      <w:sz w:val="3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题目"/>
    <w:qFormat/>
    <w:uiPriority w:val="0"/>
    <w:pPr>
      <w:spacing w:line="560" w:lineRule="exact"/>
      <w:jc w:val="center"/>
    </w:pPr>
    <w:rPr>
      <w:rFonts w:hint="eastAsia" w:ascii="方正小标宋简体" w:hAnsi="方正小标宋简体" w:eastAsia="方正小标宋简体" w:cs="仿宋_GB2312"/>
      <w:sz w:val="44"/>
      <w:szCs w:val="44"/>
      <w:lang w:val="en-US" w:eastAsia="zh-CN" w:bidi="ar-SA"/>
    </w:rPr>
  </w:style>
  <w:style w:type="paragraph" w:customStyle="1" w:styleId="14">
    <w:name w:val="正文表格标题"/>
    <w:qFormat/>
    <w:uiPriority w:val="0"/>
    <w:pPr>
      <w:spacing w:line="560" w:lineRule="exact"/>
      <w:ind w:firstLine="880" w:firstLineChars="200"/>
      <w:jc w:val="both"/>
    </w:pPr>
    <w:rPr>
      <w:rFonts w:hint="eastAsia" w:ascii="仿宋_GB2312" w:hAnsi="仿宋_GB2312" w:eastAsia="仿宋_GB2312" w:cs="宋体"/>
      <w:sz w:val="28"/>
      <w:szCs w:val="28"/>
      <w:lang w:val="en-US" w:eastAsia="zh-CN" w:bidi="ar-SA"/>
    </w:rPr>
  </w:style>
  <w:style w:type="paragraph" w:customStyle="1" w:styleId="15">
    <w:name w:val="表头"/>
    <w:basedOn w:val="1"/>
    <w:qFormat/>
    <w:uiPriority w:val="0"/>
    <w:pPr>
      <w:widowControl/>
      <w:spacing w:line="240" w:lineRule="auto"/>
      <w:ind w:firstLine="0" w:firstLineChars="0"/>
      <w:jc w:val="center"/>
    </w:pPr>
    <w:rPr>
      <w:rFonts w:hint="eastAsia" w:cs="宋体"/>
      <w:b/>
      <w:bCs/>
      <w:sz w:val="28"/>
      <w:szCs w:val="28"/>
    </w:rPr>
  </w:style>
  <w:style w:type="paragraph" w:customStyle="1" w:styleId="16">
    <w:name w:val="附件顶格"/>
    <w:qFormat/>
    <w:uiPriority w:val="0"/>
    <w:pPr>
      <w:spacing w:line="560" w:lineRule="exact"/>
    </w:pPr>
    <w:rPr>
      <w:rFonts w:hint="eastAsia" w:ascii="黑体" w:hAnsi="黑体" w:eastAsia="黑体" w:cs="宋体"/>
      <w:b/>
      <w:bCs/>
      <w:sz w:val="32"/>
      <w:szCs w:val="32"/>
      <w:lang w:val="en-US" w:eastAsia="zh-CN" w:bidi="ar-SA"/>
    </w:rPr>
  </w:style>
  <w:style w:type="paragraph" w:customStyle="1" w:styleId="17">
    <w:name w:val="文章题目"/>
    <w:qFormat/>
    <w:uiPriority w:val="0"/>
    <w:pPr>
      <w:spacing w:line="560" w:lineRule="exact"/>
      <w:jc w:val="both"/>
    </w:pPr>
    <w:rPr>
      <w:rFonts w:hint="eastAsia" w:ascii="方正小标宋简体" w:hAnsi="方正小标宋简体" w:eastAsia="方正小标宋简体" w:cs="宋体"/>
      <w:sz w:val="44"/>
      <w:szCs w:val="44"/>
      <w:lang w:val="en-US" w:eastAsia="zh-CN" w:bidi="ar-SA"/>
    </w:rPr>
  </w:style>
  <w:style w:type="paragraph" w:customStyle="1" w:styleId="18">
    <w:name w:val="正文表格"/>
    <w:qFormat/>
    <w:uiPriority w:val="0"/>
    <w:pPr>
      <w:jc w:val="both"/>
    </w:pPr>
    <w:rPr>
      <w:rFonts w:hint="eastAsia" w:ascii="仿宋_GB2312" w:hAnsi="仿宋_GB2312" w:eastAsia="仿宋_GB2312" w:cs="宋体"/>
      <w:sz w:val="28"/>
      <w:szCs w:val="28"/>
      <w:lang w:val="en-US" w:eastAsia="zh-CN" w:bidi="ar-SA"/>
    </w:rPr>
  </w:style>
  <w:style w:type="character" w:customStyle="1" w:styleId="19">
    <w:name w:val="标题 1 字符"/>
    <w:link w:val="3"/>
    <w:qFormat/>
    <w:uiPriority w:val="0"/>
    <w:rPr>
      <w:rFonts w:ascii="黑体" w:hAnsi="黑体" w:eastAsia="黑体" w:cstheme="minorBidi"/>
      <w:kern w:val="44"/>
      <w:sz w:val="32"/>
    </w:rPr>
  </w:style>
  <w:style w:type="character" w:customStyle="1" w:styleId="20">
    <w:name w:val="页眉 字符"/>
    <w:basedOn w:val="12"/>
    <w:link w:val="9"/>
    <w:qFormat/>
    <w:uiPriority w:val="0"/>
    <w:rPr>
      <w:rFonts w:ascii="仿宋_GB2312" w:hAnsi="仿宋_GB2312" w:eastAsia="仿宋_GB2312" w:cstheme="minorBidi"/>
      <w:kern w:val="2"/>
      <w:sz w:val="18"/>
      <w:szCs w:val="18"/>
    </w:rPr>
  </w:style>
  <w:style w:type="character" w:customStyle="1" w:styleId="21">
    <w:name w:val="页脚 字符"/>
    <w:basedOn w:val="12"/>
    <w:link w:val="8"/>
    <w:qFormat/>
    <w:uiPriority w:val="0"/>
    <w:rPr>
      <w:rFonts w:ascii="仿宋_GB2312" w:hAnsi="仿宋_GB2312" w:eastAsia="仿宋_GB2312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531</Characters>
  <Lines>93</Lines>
  <Paragraphs>71</Paragraphs>
  <TotalTime>44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2026-03-10T14:50:00Z</dcterms:created>
  <dc:creator>黄何</dc:creator>
  <cp:lastModifiedBy>熊己成</cp:lastModifiedBy>
  <cp:lastPrinted>2025-01-10T11:52:00Z</cp:lastPrinted>
  <dcterms:modified xsi:type="dcterms:W3CDTF">2026-10-03T02:00:13Z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B515C1DCE1254431B4955348C4F6C259_13</vt:lpwstr>
  </property>
  <property fmtid="{D5CDD505-2E9C-101B-9397-08002B2CF9AE}" pid="4" name="KSOTemplateDocerSaveRecord">
    <vt:lpwstr>eyJoZGlkIjoiNDQwNjdlN2JkNzMyZjE5NTE2ZThkODZjNDQwMDQ0ZGEiLCJ1c2VySWQiOiIxMTQ4MTAzNzY0In0=</vt:lpwstr>
  </property>
</Properties>
</file>